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wordWrap w:val="0"/>
        <w:spacing w:before="0" w:beforeAutospacing="0" w:after="0" w:afterAutospacing="0"/>
        <w:ind w:left="0" w:right="0"/>
        <w:jc w:val="both"/>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根据《中华人民共和国政府信息公开条例》规定，现公布《四平市铁西区残疾人联合会2022年政府信息公开工作年度报告》。如对本报告有疑问，请与铁西区联合会联系，地址：四平市铁西区英雄街海丰大路2118号。邮编：136000，电话：0434-3273577。具体情况报告如下： </w:t>
      </w:r>
    </w:p>
    <w:p>
      <w:pPr>
        <w:ind w:firstLine="480" w:firstLineChars="200"/>
        <w:rPr>
          <w:rFonts w:ascii="宋体" w:hAnsi="宋体" w:eastAsia="宋体" w:cs="宋体"/>
          <w:sz w:val="24"/>
          <w:szCs w:val="24"/>
        </w:rPr>
      </w:pPr>
    </w:p>
    <w:p>
      <w:pPr>
        <w:numPr>
          <w:ilvl w:val="0"/>
          <w:numId w:val="1"/>
        </w:num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总体情况</w:t>
      </w:r>
    </w:p>
    <w:p>
      <w:pPr>
        <w:keepNext w:val="0"/>
        <w:keepLines w:val="0"/>
        <w:widowControl/>
        <w:suppressLineNumbers w:val="0"/>
        <w:wordWrap w:val="0"/>
        <w:spacing w:before="0" w:beforeAutospacing="0" w:after="0" w:afterAutospacing="0"/>
        <w:ind w:left="0" w:right="0" w:firstLine="482"/>
        <w:jc w:val="left"/>
        <w:rPr>
          <w:b w:val="0"/>
          <w:bCs w:val="0"/>
        </w:rPr>
      </w:pPr>
      <w:r>
        <w:rPr>
          <w:rFonts w:hint="eastAsia" w:ascii="宋体" w:hAnsi="宋体" w:eastAsia="宋体" w:cs="宋体"/>
          <w:b w:val="0"/>
          <w:bCs w:val="0"/>
          <w:kern w:val="0"/>
          <w:sz w:val="24"/>
          <w:szCs w:val="24"/>
          <w:lang w:val="en-US" w:eastAsia="zh-CN" w:bidi="ar"/>
        </w:rPr>
        <w:t>2022年，铁西残联坚持以习近平新时代中国特色社会主义思想为指导，深入贯彻党的精神，全面落实国家、省、市关于政务公开工作的决策部署，推动政府职能转变、提高为民服务质效，助力全市经济社会高质量发展。</w:t>
      </w:r>
    </w:p>
    <w:p>
      <w:pPr>
        <w:keepNext w:val="0"/>
        <w:keepLines w:val="0"/>
        <w:widowControl/>
        <w:suppressLineNumbers w:val="0"/>
        <w:wordWrap w:val="0"/>
        <w:spacing w:before="0" w:beforeAutospacing="0" w:after="0" w:afterAutospacing="0"/>
        <w:ind w:left="0" w:right="0" w:firstLine="482"/>
        <w:jc w:val="left"/>
        <w:rPr>
          <w:b w:val="0"/>
          <w:bCs w:val="0"/>
          <w:sz w:val="24"/>
          <w:szCs w:val="24"/>
        </w:rPr>
      </w:pPr>
      <w:r>
        <w:rPr>
          <w:rFonts w:hint="eastAsia" w:ascii="楷体" w:hAnsi="楷体" w:eastAsia="楷体" w:cs="楷体"/>
          <w:b w:val="0"/>
          <w:bCs w:val="0"/>
          <w:kern w:val="0"/>
          <w:sz w:val="24"/>
          <w:szCs w:val="24"/>
          <w:lang w:val="en-US" w:eastAsia="zh-CN" w:bidi="ar"/>
        </w:rPr>
        <w:t>（一）组织推动政府信息公开工作。</w:t>
      </w:r>
      <w:r>
        <w:rPr>
          <w:rFonts w:hint="eastAsia" w:ascii="宋体" w:hAnsi="宋体" w:eastAsia="宋体" w:cs="宋体"/>
          <w:b w:val="0"/>
          <w:bCs w:val="0"/>
          <w:kern w:val="0"/>
          <w:sz w:val="24"/>
          <w:szCs w:val="24"/>
          <w:lang w:val="en-US" w:eastAsia="zh-CN" w:bidi="ar"/>
        </w:rPr>
        <w:t>推进政府规章、行政规范性文件集中统一公开。建立健全规章动态更新工作机制，高质量发布现行有效规章正式版本，稳步推进规章历史文本收录工作。2022年底前，全面梳理现行有效行政规范性文件，并在政府信息公开专栏集中公开，明确标题、正文、文号、成文日期、发布日期、有效性等。</w:t>
      </w:r>
    </w:p>
    <w:p>
      <w:pPr>
        <w:keepNext w:val="0"/>
        <w:keepLines w:val="0"/>
        <w:widowControl/>
        <w:numPr>
          <w:ilvl w:val="0"/>
          <w:numId w:val="0"/>
        </w:numPr>
        <w:suppressLineNumbers w:val="0"/>
        <w:wordWrap w:val="0"/>
        <w:spacing w:before="0" w:beforeAutospacing="0" w:after="0" w:afterAutospacing="0"/>
        <w:ind w:left="0" w:leftChars="0" w:right="0" w:firstLine="480" w:firstLineChars="200"/>
        <w:jc w:val="left"/>
        <w:rPr>
          <w:rFonts w:hint="eastAsia" w:ascii="宋体" w:hAnsi="宋体" w:eastAsia="宋体" w:cs="宋体"/>
          <w:b w:val="0"/>
          <w:bCs w:val="0"/>
        </w:rPr>
      </w:pPr>
      <w:r>
        <w:rPr>
          <w:rFonts w:hint="eastAsia" w:ascii="楷体" w:hAnsi="楷体" w:eastAsia="楷体" w:cs="楷体"/>
          <w:b w:val="0"/>
          <w:bCs w:val="0"/>
          <w:kern w:val="0"/>
          <w:sz w:val="24"/>
          <w:szCs w:val="24"/>
          <w:lang w:val="en-US" w:eastAsia="zh-CN" w:bidi="ar"/>
        </w:rPr>
        <w:t>（二）积极推动政府信息主动公开。</w:t>
      </w:r>
      <w:r>
        <w:rPr>
          <w:rFonts w:hint="eastAsia" w:ascii="宋体" w:hAnsi="宋体" w:eastAsia="宋体" w:cs="宋体"/>
          <w:b w:val="0"/>
          <w:bCs w:val="0"/>
          <w:kern w:val="0"/>
          <w:sz w:val="24"/>
          <w:szCs w:val="24"/>
          <w:lang w:val="en-US" w:eastAsia="zh-CN" w:bidi="ar"/>
        </w:rPr>
        <w:t>加大重点领域信息主动公开力度。认真做好财政预决算等领域政府信息公开制度的贯彻落实。细化财政信息公开，优化预决算信息公开方式，方便群众查阅和监督。</w:t>
      </w:r>
    </w:p>
    <w:p>
      <w:pPr>
        <w:keepNext w:val="0"/>
        <w:keepLines w:val="0"/>
        <w:widowControl/>
        <w:numPr>
          <w:ilvl w:val="0"/>
          <w:numId w:val="0"/>
        </w:numPr>
        <w:suppressLineNumbers w:val="0"/>
        <w:wordWrap w:val="0"/>
        <w:spacing w:before="0" w:beforeAutospacing="0" w:after="0" w:afterAutospacing="0"/>
        <w:ind w:left="0" w:leftChars="0" w:right="0" w:firstLine="480" w:firstLineChars="200"/>
        <w:jc w:val="left"/>
        <w:rPr>
          <w:rFonts w:hint="eastAsia" w:ascii="宋体" w:hAnsi="宋体" w:eastAsia="宋体" w:cs="宋体"/>
          <w:b w:val="0"/>
          <w:bCs w:val="0"/>
          <w:lang w:val="en-US" w:eastAsia="zh-CN"/>
        </w:rPr>
      </w:pPr>
      <w:r>
        <w:rPr>
          <w:rFonts w:hint="eastAsia" w:ascii="楷体" w:hAnsi="楷体" w:eastAsia="楷体" w:cs="楷体"/>
          <w:b w:val="0"/>
          <w:bCs w:val="0"/>
          <w:kern w:val="0"/>
          <w:sz w:val="24"/>
          <w:szCs w:val="24"/>
          <w:lang w:val="en-US" w:eastAsia="zh-CN" w:bidi="ar"/>
        </w:rPr>
        <w:t>（三）认真规范处理依申请公开。</w:t>
      </w:r>
      <w:r>
        <w:rPr>
          <w:rFonts w:hint="eastAsia" w:ascii="宋体" w:hAnsi="宋体" w:eastAsia="宋体" w:cs="宋体"/>
          <w:b w:val="0"/>
          <w:bCs w:val="0"/>
          <w:kern w:val="0"/>
          <w:sz w:val="24"/>
          <w:szCs w:val="24"/>
          <w:lang w:val="en-US" w:eastAsia="zh-CN" w:bidi="ar"/>
        </w:rPr>
        <w:t>从严把握不予公开范围，对法定不予公开条款坚持最小化适用原则。优化和规范内部办理流程，缩短办理时限，提高答复效率。加强业务培训和案例指导，提升答复文书规范化水平。</w:t>
      </w:r>
    </w:p>
    <w:p>
      <w:pPr>
        <w:keepNext w:val="0"/>
        <w:keepLines w:val="0"/>
        <w:widowControl/>
        <w:numPr>
          <w:ilvl w:val="0"/>
          <w:numId w:val="0"/>
        </w:numPr>
        <w:suppressLineNumbers w:val="0"/>
        <w:wordWrap w:val="0"/>
        <w:spacing w:before="0" w:beforeAutospacing="0" w:after="0" w:afterAutospacing="0"/>
        <w:ind w:left="0" w:leftChars="0" w:right="0" w:firstLine="480" w:firstLineChars="200"/>
        <w:jc w:val="left"/>
        <w:rPr>
          <w:rFonts w:hint="eastAsia" w:ascii="楷体" w:hAnsi="楷体" w:eastAsia="楷体" w:cs="楷体"/>
          <w:b w:val="0"/>
          <w:bCs w:val="0"/>
        </w:rPr>
      </w:pPr>
      <w:r>
        <w:rPr>
          <w:rFonts w:hint="eastAsia" w:ascii="楷体" w:hAnsi="楷体" w:eastAsia="楷体" w:cs="楷体"/>
          <w:b w:val="0"/>
          <w:bCs w:val="0"/>
          <w:kern w:val="0"/>
          <w:sz w:val="24"/>
          <w:szCs w:val="24"/>
          <w:lang w:val="en-US" w:eastAsia="zh-CN" w:bidi="ar"/>
        </w:rPr>
        <w:t>（四）不断强化政府信息公开平台内容保障。</w:t>
      </w:r>
      <w:r>
        <w:rPr>
          <w:rFonts w:hint="eastAsia" w:ascii="宋体" w:hAnsi="宋体" w:eastAsia="宋体" w:cs="宋体"/>
          <w:b w:val="0"/>
          <w:bCs w:val="0"/>
          <w:kern w:val="0"/>
          <w:sz w:val="24"/>
          <w:szCs w:val="24"/>
          <w:lang w:val="en-US" w:eastAsia="zh-CN" w:bidi="ar"/>
        </w:rPr>
        <w:t>加强对信息公开平台日常巡查、维护，确保内容及时更新，杜绝错链、断链和内容混杂。</w:t>
      </w:r>
    </w:p>
    <w:p>
      <w:pPr>
        <w:keepNext w:val="0"/>
        <w:keepLines w:val="0"/>
        <w:widowControl/>
        <w:suppressLineNumbers w:val="0"/>
        <w:wordWrap w:val="0"/>
        <w:spacing w:before="0" w:beforeAutospacing="0" w:after="0" w:afterAutospacing="0"/>
        <w:ind w:left="0" w:right="0" w:firstLine="480" w:firstLineChars="200"/>
        <w:jc w:val="left"/>
        <w:rPr>
          <w:rFonts w:hint="eastAsia" w:ascii="楷体" w:hAnsi="楷体" w:eastAsia="楷体" w:cs="楷体"/>
          <w:b w:val="0"/>
          <w:bCs w:val="0"/>
        </w:rPr>
      </w:pPr>
      <w:r>
        <w:rPr>
          <w:rFonts w:hint="eastAsia" w:ascii="楷体" w:hAnsi="楷体" w:eastAsia="楷体" w:cs="楷体"/>
          <w:b w:val="0"/>
          <w:bCs w:val="0"/>
          <w:kern w:val="2"/>
          <w:sz w:val="24"/>
          <w:szCs w:val="24"/>
          <w:lang w:val="en-US" w:eastAsia="zh-CN" w:bidi="ar"/>
        </w:rPr>
        <w:t>（五）全力做好宣传培训评估考核等基础工作。</w:t>
      </w:r>
      <w:r>
        <w:rPr>
          <w:rFonts w:hint="eastAsia" w:ascii="宋体" w:hAnsi="宋体" w:eastAsia="宋体" w:cs="宋体"/>
          <w:b w:val="0"/>
          <w:bCs w:val="0"/>
          <w:kern w:val="2"/>
          <w:sz w:val="24"/>
          <w:szCs w:val="24"/>
          <w:lang w:val="en-US" w:eastAsia="zh-CN" w:bidi="ar"/>
        </w:rPr>
        <w:t>将《条例》列入领导干部学法内容，切实提高各级领导干部和行政机关对政务公开工作的重视程度和认识水平。组织开展政务公开工作培训和研讨交流，不断提升业务能力。</w:t>
      </w:r>
    </w:p>
    <w:p>
      <w:pPr>
        <w:numPr>
          <w:ilvl w:val="0"/>
          <w:numId w:val="0"/>
        </w:numPr>
        <w:rPr>
          <w:rFonts w:hint="eastAsia" w:ascii="宋体" w:hAnsi="宋体" w:eastAsia="宋体" w:cs="宋体"/>
          <w:b w:val="0"/>
          <w:bCs w:val="0"/>
          <w:sz w:val="24"/>
          <w:szCs w:val="24"/>
        </w:rPr>
      </w:pP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4"/>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2"/>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5"/>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9"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895"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19" w:type="dxa"/>
            <w:gridSpan w:val="3"/>
            <w:vMerge w:val="continue"/>
          </w:tcPr>
          <w:p>
            <w:pPr>
              <w:rPr>
                <w:rFonts w:ascii="宋体" w:hAnsi="宋体" w:eastAsia="宋体" w:cs="宋体"/>
                <w:b/>
                <w:bCs/>
                <w:sz w:val="24"/>
                <w:szCs w:val="24"/>
              </w:rPr>
            </w:pPr>
          </w:p>
        </w:tc>
        <w:tc>
          <w:tcPr>
            <w:tcW w:w="685"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7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1"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9" w:type="dxa"/>
            <w:gridSpan w:val="3"/>
            <w:vMerge w:val="continue"/>
          </w:tcPr>
          <w:p>
            <w:pPr>
              <w:rPr>
                <w:rFonts w:ascii="宋体" w:hAnsi="宋体" w:eastAsia="宋体" w:cs="宋体"/>
                <w:b/>
                <w:bCs/>
                <w:sz w:val="24"/>
                <w:szCs w:val="24"/>
              </w:rPr>
            </w:pPr>
          </w:p>
        </w:tc>
        <w:tc>
          <w:tcPr>
            <w:tcW w:w="685" w:type="dxa"/>
            <w:vMerge w:val="continue"/>
          </w:tcPr>
          <w:p>
            <w:pPr>
              <w:rPr>
                <w:rFonts w:ascii="宋体" w:hAnsi="宋体" w:eastAsia="宋体" w:cs="宋体"/>
                <w:b/>
                <w:bCs/>
                <w:sz w:val="24"/>
                <w:szCs w:val="24"/>
              </w:rPr>
            </w:pPr>
          </w:p>
        </w:tc>
        <w:tc>
          <w:tcPr>
            <w:tcW w:w="696"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2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2"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5"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1"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19"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bl>
    <w:p>
      <w:pPr>
        <w:numPr>
          <w:ilvl w:val="0"/>
          <w:numId w:val="2"/>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4"/>
        <w:tblW w:w="9071" w:type="dxa"/>
        <w:jc w:val="center"/>
        <w:tblLayout w:type="fixed"/>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CellMar>
            <w:top w:w="0" w:type="dxa"/>
            <w:left w:w="0" w:type="dxa"/>
            <w:bottom w:w="0" w:type="dxa"/>
            <w:right w:w="0" w:type="dxa"/>
          </w:tblCellMar>
        </w:tblPrEx>
        <w:trPr>
          <w:jc w:val="center"/>
        </w:trPr>
        <w:tc>
          <w:tcPr>
            <w:tcW w:w="300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68"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59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0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21"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rPr>
          <w:jc w:val="center"/>
        </w:trPr>
        <w:tc>
          <w:tcPr>
            <w:tcW w:w="59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6"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0"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5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bl>
    <w:p>
      <w:pPr>
        <w:ind w:firstLine="480" w:firstLineChars="200"/>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pPr>
        <w:pStyle w:val="3"/>
        <w:keepNext w:val="0"/>
        <w:keepLines w:val="0"/>
        <w:widowControl/>
        <w:suppressLineNumbers w:val="0"/>
        <w:wordWrap w:val="0"/>
        <w:spacing w:before="0" w:beforeAutospacing="0" w:after="0" w:afterAutospacing="0"/>
        <w:ind w:left="0" w:right="0" w:firstLine="480" w:firstLineChars="200"/>
        <w:jc w:val="left"/>
      </w:pPr>
      <w:r>
        <w:rPr>
          <w:rFonts w:hint="eastAsia" w:ascii="宋体" w:hAnsi="宋体" w:eastAsia="宋体" w:cs="宋体"/>
          <w:sz w:val="24"/>
          <w:szCs w:val="24"/>
        </w:rPr>
        <w:t xml:space="preserve">2022年，区残疾人联合会政府信息公开工作取得了一定成绩，但与群众的期望还有一定差距，存在着一些不足和问题。一是公开意识有待提高，对政府信息公开工作的重要性认识不足；二是公开的政府信息质量有待提高；三是政府信息公开工作机制还需进一步完善。 </w:t>
      </w:r>
    </w:p>
    <w:p>
      <w:pPr>
        <w:pStyle w:val="3"/>
        <w:keepNext w:val="0"/>
        <w:keepLines w:val="0"/>
        <w:widowControl/>
        <w:suppressLineNumbers w:val="0"/>
        <w:wordWrap w:val="0"/>
        <w:spacing w:before="0" w:beforeAutospacing="0" w:after="0" w:afterAutospacing="0"/>
        <w:ind w:left="0" w:right="0"/>
        <w:jc w:val="left"/>
      </w:pPr>
      <w:r>
        <w:rPr>
          <w:rFonts w:hint="eastAsia" w:ascii="宋体" w:hAnsi="宋体" w:eastAsia="宋体" w:cs="宋体"/>
          <w:sz w:val="24"/>
          <w:szCs w:val="24"/>
        </w:rPr>
        <w:t xml:space="preserve">　　2023年，区残疾人联合会将紧紧围绕区委、区政府中心工作，大力推进政府信息公开。 </w:t>
      </w:r>
    </w:p>
    <w:p>
      <w:pPr>
        <w:pStyle w:val="3"/>
        <w:keepNext w:val="0"/>
        <w:keepLines w:val="0"/>
        <w:widowControl/>
        <w:suppressLineNumbers w:val="0"/>
        <w:wordWrap w:val="0"/>
        <w:spacing w:before="0" w:beforeAutospacing="0" w:after="0" w:afterAutospacing="0"/>
        <w:ind w:left="0" w:right="0"/>
        <w:jc w:val="left"/>
      </w:pPr>
      <w:r>
        <w:rPr>
          <w:rFonts w:hint="eastAsia" w:ascii="宋体" w:hAnsi="宋体" w:eastAsia="宋体" w:cs="宋体"/>
          <w:sz w:val="24"/>
          <w:szCs w:val="24"/>
        </w:rPr>
        <w:t>　　</w:t>
      </w:r>
      <w:r>
        <w:rPr>
          <w:rFonts w:hint="eastAsia" w:ascii="楷体" w:hAnsi="楷体" w:eastAsia="楷体" w:cs="楷体"/>
          <w:sz w:val="24"/>
          <w:szCs w:val="24"/>
        </w:rPr>
        <w:t>一是提升对信息公开工作的认识。</w:t>
      </w:r>
      <w:r>
        <w:rPr>
          <w:rFonts w:hint="eastAsia" w:ascii="宋体" w:hAnsi="宋体" w:eastAsia="宋体" w:cs="宋体"/>
          <w:sz w:val="24"/>
          <w:szCs w:val="24"/>
        </w:rPr>
        <w:t xml:space="preserve">加强信息联络人员与业务科室的衔接和沟通，努力将信息收集与公开同步进行，确保信息的及时、准确、全面。 </w:t>
      </w:r>
    </w:p>
    <w:p>
      <w:pPr>
        <w:pStyle w:val="3"/>
        <w:keepNext w:val="0"/>
        <w:keepLines w:val="0"/>
        <w:widowControl/>
        <w:suppressLineNumbers w:val="0"/>
        <w:wordWrap w:val="0"/>
        <w:spacing w:before="0" w:beforeAutospacing="0" w:after="0" w:afterAutospacing="0"/>
        <w:ind w:left="0" w:right="0"/>
        <w:jc w:val="left"/>
      </w:pPr>
      <w:r>
        <w:rPr>
          <w:rFonts w:hint="eastAsia" w:ascii="宋体" w:hAnsi="宋体" w:eastAsia="宋体" w:cs="宋体"/>
          <w:sz w:val="24"/>
          <w:szCs w:val="24"/>
        </w:rPr>
        <w:t>　　</w:t>
      </w:r>
      <w:r>
        <w:rPr>
          <w:rFonts w:hint="eastAsia" w:ascii="楷体" w:hAnsi="楷体" w:eastAsia="楷体" w:cs="楷体"/>
          <w:sz w:val="24"/>
          <w:szCs w:val="24"/>
        </w:rPr>
        <w:t>二是提升公开信息质量。</w:t>
      </w:r>
      <w:r>
        <w:rPr>
          <w:rFonts w:hint="eastAsia" w:ascii="宋体" w:hAnsi="宋体" w:eastAsia="宋体" w:cs="宋体"/>
          <w:sz w:val="24"/>
          <w:szCs w:val="24"/>
        </w:rPr>
        <w:t xml:space="preserve">定期开展检查，实施有效监督，实现公开的政府信息规范化，确保信息内容的准确性和完整性，全面提高政府信息公开质量。 </w:t>
      </w:r>
    </w:p>
    <w:p>
      <w:pPr>
        <w:pStyle w:val="3"/>
        <w:keepNext w:val="0"/>
        <w:keepLines w:val="0"/>
        <w:widowControl/>
        <w:suppressLineNumbers w:val="0"/>
        <w:wordWrap w:val="0"/>
        <w:spacing w:before="0" w:beforeAutospacing="0" w:after="0" w:afterAutospacing="0"/>
        <w:ind w:left="0" w:right="0"/>
        <w:jc w:val="left"/>
      </w:pPr>
      <w:r>
        <w:rPr>
          <w:rFonts w:hint="eastAsia" w:ascii="宋体" w:hAnsi="宋体" w:eastAsia="宋体" w:cs="宋体"/>
          <w:sz w:val="24"/>
          <w:szCs w:val="24"/>
        </w:rPr>
        <w:t>　　</w:t>
      </w:r>
      <w:r>
        <w:rPr>
          <w:rFonts w:hint="eastAsia" w:ascii="楷体" w:hAnsi="楷体" w:eastAsia="楷体" w:cs="楷体"/>
          <w:sz w:val="24"/>
          <w:szCs w:val="24"/>
        </w:rPr>
        <w:t>三是健全信息公开机制。</w:t>
      </w:r>
      <w:r>
        <w:rPr>
          <w:rFonts w:hint="eastAsia" w:ascii="宋体" w:hAnsi="宋体" w:eastAsia="宋体" w:cs="宋体"/>
          <w:sz w:val="24"/>
          <w:szCs w:val="24"/>
        </w:rPr>
        <w:t xml:space="preserve">不断完善政府信息公开工作机制，提高政府信息公开的广度和深度，特别对残疾人关心的热点、重点问题，须合理分类，不断提高区残联政府信息的时效性和专业性，进一步提高区残联政府信息公开工作的水平和质量。 </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pStyle w:val="3"/>
        <w:keepNext w:val="0"/>
        <w:keepLines w:val="0"/>
        <w:widowControl/>
        <w:suppressLineNumbers w:val="0"/>
        <w:wordWrap w:val="0"/>
        <w:spacing w:before="0" w:beforeAutospacing="0" w:after="0" w:afterAutospacing="0"/>
        <w:ind w:left="0" w:right="0" w:firstLine="480" w:firstLineChars="200"/>
        <w:jc w:val="left"/>
      </w:pPr>
      <w:r>
        <w:rPr>
          <w:rFonts w:hint="eastAsia" w:ascii="宋体" w:hAnsi="宋体" w:eastAsia="宋体" w:cs="宋体"/>
          <w:sz w:val="24"/>
          <w:szCs w:val="24"/>
        </w:rPr>
        <w:t>我会暂无其他应报告的事项。</w:t>
      </w:r>
    </w:p>
    <w:p>
      <w:pPr>
        <w:rPr>
          <w:rFonts w:hint="eastAsia"/>
          <w:lang w:val="en-US" w:eastAsia="zh-CN"/>
        </w:rPr>
      </w:pPr>
      <w:r>
        <w:rPr>
          <w:rFonts w:hint="eastAsia"/>
          <w:lang w:val="en-US" w:eastAsia="zh-CN"/>
        </w:rPr>
        <w:t xml:space="preserve">                </w:t>
      </w:r>
    </w:p>
    <w:p>
      <w:pPr>
        <w:ind w:firstLine="6090" w:firstLineChars="2900"/>
        <w:rPr>
          <w:rFonts w:hint="eastAsia"/>
          <w:lang w:val="en-US" w:eastAsia="zh-CN"/>
        </w:rPr>
      </w:pPr>
      <w:r>
        <w:rPr>
          <w:rFonts w:hint="eastAsia"/>
          <w:lang w:val="en-US" w:eastAsia="zh-CN"/>
        </w:rPr>
        <w:t xml:space="preserve"> 铁西区残疾人联合会</w:t>
      </w:r>
    </w:p>
    <w:p>
      <w:pPr>
        <w:ind w:firstLine="6300" w:firstLineChars="3000"/>
        <w:rPr>
          <w:rFonts w:hint="default"/>
          <w:lang w:val="en-US" w:eastAsia="zh-CN"/>
        </w:rPr>
      </w:pPr>
      <w:r>
        <w:rPr>
          <w:rFonts w:hint="eastAsia"/>
          <w:lang w:val="en-US" w:eastAsia="zh-CN"/>
        </w:rPr>
        <w:t>2023年1月30</w:t>
      </w:r>
      <w:bookmarkStart w:id="0" w:name="_GoBack"/>
      <w:bookmarkEnd w:id="0"/>
      <w:r>
        <w:rPr>
          <w:rFonts w:hint="eastAsia"/>
          <w:lang w:val="en-US" w:eastAsia="zh-CN"/>
        </w:rPr>
        <w:t>日</w:t>
      </w:r>
    </w:p>
    <w:p>
      <w:pPr>
        <w:rPr>
          <w:rFonts w:hint="default"/>
          <w:lang w:val="en-US" w:eastAsia="zh-CN"/>
        </w:rPr>
      </w:pP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D3B378"/>
    <w:multiLevelType w:val="singleLevel"/>
    <w:tmpl w:val="42D3B378"/>
    <w:lvl w:ilvl="0" w:tentative="0">
      <w:start w:val="1"/>
      <w:numFmt w:val="chineseCounting"/>
      <w:suff w:val="nothing"/>
      <w:lvlText w:val="%1、"/>
      <w:lvlJc w:val="left"/>
      <w:rPr>
        <w:rFonts w:hint="eastAsia"/>
      </w:rPr>
    </w:lvl>
  </w:abstractNum>
  <w:abstractNum w:abstractNumId="1">
    <w:nsid w:val="704075A3"/>
    <w:multiLevelType w:val="singleLevel"/>
    <w:tmpl w:val="704075A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ODczMzM1ZmNmMTlkNzAxMGE0MmEwNWRlZmVlZDEifQ=="/>
  </w:docVars>
  <w:rsids>
    <w:rsidRoot w:val="101E084D"/>
    <w:rsid w:val="101E084D"/>
    <w:rsid w:val="4222555E"/>
    <w:rsid w:val="42786A9F"/>
    <w:rsid w:val="4F39406F"/>
    <w:rsid w:val="569931BB"/>
    <w:rsid w:val="73FA0A79"/>
    <w:rsid w:val="7AAD2A82"/>
    <w:rsid w:val="7DF40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2022</Words>
  <Characters>2080</Characters>
  <Lines>0</Lines>
  <Paragraphs>0</Paragraphs>
  <TotalTime>16</TotalTime>
  <ScaleCrop>false</ScaleCrop>
  <LinksUpToDate>false</LinksUpToDate>
  <CharactersWithSpaces>2114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2012-12-31T17:03:00Z</dcterms:created>
  <dc:creator>矫情</dc:creator>
  <cp:lastModifiedBy>矫情</cp:lastModifiedBy>
  <dcterms:modified xsi:type="dcterms:W3CDTF">2012-12-31T17:50:32Z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BF3A2A2826D14690813508EC52812668</vt:lpwstr>
  </property>
</Properties>
</file>