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44" w:rsidRPr="006A0137" w:rsidRDefault="00AC08E3" w:rsidP="00AC08E3">
      <w:pPr>
        <w:jc w:val="center"/>
        <w:textAlignment w:val="baseline"/>
        <w:rPr>
          <w:rFonts w:asciiTheme="minorEastAsia" w:hAnsiTheme="minorEastAsia" w:cs="宋体"/>
          <w:b/>
          <w:bCs/>
          <w:sz w:val="36"/>
          <w:szCs w:val="36"/>
        </w:rPr>
      </w:pPr>
      <w:r w:rsidRPr="006A0137">
        <w:rPr>
          <w:rFonts w:asciiTheme="minorEastAsia" w:hAnsiTheme="minorEastAsia" w:cs="宋体" w:hint="eastAsia"/>
          <w:b/>
          <w:bCs/>
          <w:sz w:val="36"/>
          <w:szCs w:val="36"/>
        </w:rPr>
        <w:t>铁西区残疾人联合会</w:t>
      </w:r>
    </w:p>
    <w:p w:rsidR="00AC08E3" w:rsidRDefault="00AC08E3" w:rsidP="00AC08E3">
      <w:pPr>
        <w:jc w:val="center"/>
        <w:textAlignment w:val="baseline"/>
        <w:rPr>
          <w:rFonts w:asciiTheme="minorEastAsia" w:hAnsiTheme="minorEastAsia" w:cs="宋体"/>
          <w:b/>
          <w:bCs/>
          <w:sz w:val="36"/>
          <w:szCs w:val="36"/>
        </w:rPr>
      </w:pPr>
      <w:bookmarkStart w:id="0" w:name="_GoBack"/>
      <w:bookmarkEnd w:id="0"/>
      <w:r w:rsidRPr="00AC08E3">
        <w:rPr>
          <w:rFonts w:asciiTheme="minorEastAsia" w:hAnsiTheme="minorEastAsia" w:cs="宋体" w:hint="eastAsia"/>
          <w:b/>
          <w:bCs/>
          <w:sz w:val="36"/>
          <w:szCs w:val="36"/>
        </w:rPr>
        <w:t>202</w:t>
      </w:r>
      <w:r w:rsidR="00C35FD3">
        <w:rPr>
          <w:rFonts w:asciiTheme="minorEastAsia" w:hAnsiTheme="minorEastAsia" w:cs="宋体" w:hint="eastAsia"/>
          <w:b/>
          <w:bCs/>
          <w:sz w:val="36"/>
          <w:szCs w:val="36"/>
        </w:rPr>
        <w:t>1</w:t>
      </w:r>
      <w:r w:rsidRPr="00AC08E3">
        <w:rPr>
          <w:rFonts w:asciiTheme="minorEastAsia" w:hAnsiTheme="minorEastAsia" w:cs="宋体" w:hint="eastAsia"/>
          <w:b/>
          <w:bCs/>
          <w:sz w:val="36"/>
          <w:szCs w:val="36"/>
        </w:rPr>
        <w:t>年政府信息公开工作年度报告</w:t>
      </w:r>
    </w:p>
    <w:p w:rsidR="00321C44" w:rsidRPr="00AC08E3" w:rsidRDefault="00AC08E3" w:rsidP="00AC08E3">
      <w:pPr>
        <w:ind w:firstLineChars="200" w:firstLine="560"/>
        <w:textAlignment w:val="baseline"/>
        <w:rPr>
          <w:rFonts w:asciiTheme="minorEastAsia" w:hAnsiTheme="minorEastAsia" w:cs="宋体"/>
          <w:b/>
          <w:bCs/>
          <w:sz w:val="36"/>
          <w:szCs w:val="36"/>
        </w:rPr>
      </w:pPr>
      <w:r w:rsidRPr="006A0137">
        <w:rPr>
          <w:rFonts w:asciiTheme="minorEastAsia" w:hAnsiTheme="minorEastAsia" w:cs="宋体" w:hint="eastAsia"/>
          <w:bCs/>
          <w:kern w:val="0"/>
          <w:sz w:val="28"/>
          <w:szCs w:val="28"/>
        </w:rPr>
        <w:t>一、总体情况</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202</w:t>
      </w:r>
      <w:r w:rsidR="00C35FD3">
        <w:rPr>
          <w:rFonts w:asciiTheme="minorEastAsia" w:hAnsiTheme="minorEastAsia" w:cs="宋体" w:hint="eastAsia"/>
          <w:sz w:val="24"/>
        </w:rPr>
        <w:t>1</w:t>
      </w:r>
      <w:r w:rsidRPr="006A0137">
        <w:rPr>
          <w:rFonts w:asciiTheme="minorEastAsia" w:hAnsiTheme="minorEastAsia" w:cs="宋体" w:hint="eastAsia"/>
          <w:sz w:val="24"/>
        </w:rPr>
        <w:t>年，在铁西区委、区政府的正确领导和铁西区政务公开（政府信息公开）工作领导小组的具体指导下，铁西区残疾人联合会高度重视政务公开工作，不断完善公开制度，强化公开监督，认真学习和贯彻落实省、市关于《全面推进基层政务公开标准化规范化工作实施方案》，加大政府信息公开力度，推进政务公开标准化、规范化，细化梳理铁西区残疾人联合会公开标准目录，推进本部门政务公开工作有序开展。现将本单位政务公开工作推进情况总结如下：</w:t>
      </w:r>
    </w:p>
    <w:p w:rsidR="00321C44" w:rsidRPr="006A0137" w:rsidRDefault="00321C44">
      <w:pPr>
        <w:jc w:val="left"/>
        <w:textAlignment w:val="baseline"/>
        <w:rPr>
          <w:rFonts w:asciiTheme="minorEastAsia" w:hAnsiTheme="minorEastAsia" w:cs="宋体"/>
          <w:b/>
          <w:bCs/>
          <w:kern w:val="0"/>
          <w:sz w:val="24"/>
        </w:rPr>
      </w:pPr>
    </w:p>
    <w:p w:rsidR="0090531E" w:rsidRPr="0090531E" w:rsidRDefault="00AC08E3" w:rsidP="0090531E">
      <w:pPr>
        <w:ind w:firstLineChars="200" w:firstLine="480"/>
        <w:rPr>
          <w:rFonts w:ascii="宋体" w:eastAsia="宋体" w:hAnsi="宋体" w:cs="宋体"/>
          <w:sz w:val="24"/>
        </w:rPr>
      </w:pPr>
      <w:r w:rsidRPr="006A0137">
        <w:rPr>
          <w:rFonts w:asciiTheme="minorEastAsia" w:hAnsiTheme="minorEastAsia" w:cs="宋体" w:hint="eastAsia"/>
          <w:sz w:val="24"/>
        </w:rPr>
        <w:t>一</w:t>
      </w:r>
      <w:r w:rsidR="0090531E">
        <w:rPr>
          <w:rFonts w:asciiTheme="minorEastAsia" w:hAnsiTheme="minorEastAsia" w:cs="宋体" w:hint="eastAsia"/>
          <w:sz w:val="24"/>
        </w:rPr>
        <w:t>是</w:t>
      </w:r>
      <w:r w:rsidR="0090531E" w:rsidRPr="0090531E">
        <w:rPr>
          <w:rFonts w:ascii="宋体" w:eastAsia="宋体" w:hAnsi="宋体" w:cs="宋体" w:hint="eastAsia"/>
          <w:sz w:val="24"/>
        </w:rPr>
        <w:t>在疫情过后残联通过三方服务机构和乡街卫生服务中心，积极开展精准康复服务工作，全年康复服务1800人。（2021年精准康复服务任务1404人）康复服务率96.77%。其中辅具适配310人，辅具适配率93.37%。儿童康复救助任务28人，已经完成26人（康复训练补助资金30余万元，具体资金由市结算）。</w:t>
      </w:r>
    </w:p>
    <w:p w:rsidR="00321C44" w:rsidRPr="006A0137" w:rsidRDefault="00321C44" w:rsidP="0090531E">
      <w:pPr>
        <w:ind w:firstLineChars="200" w:firstLine="480"/>
        <w:jc w:val="left"/>
        <w:textAlignment w:val="baseline"/>
        <w:rPr>
          <w:rFonts w:asciiTheme="minorEastAsia" w:hAnsiTheme="minorEastAsia" w:cs="宋体"/>
          <w:sz w:val="24"/>
        </w:rPr>
      </w:pPr>
    </w:p>
    <w:p w:rsidR="00321C44" w:rsidRPr="006A0137" w:rsidRDefault="00AC08E3">
      <w:pPr>
        <w:ind w:firstLineChars="200" w:firstLine="480"/>
        <w:jc w:val="left"/>
        <w:textAlignment w:val="baseline"/>
        <w:rPr>
          <w:rFonts w:asciiTheme="minorEastAsia" w:hAnsiTheme="minorEastAsia" w:cs="宋体"/>
          <w:sz w:val="24"/>
        </w:rPr>
      </w:pPr>
      <w:r w:rsidRPr="006A0137">
        <w:rPr>
          <w:rFonts w:asciiTheme="minorEastAsia" w:hAnsiTheme="minorEastAsia" w:cs="宋体" w:hint="eastAsia"/>
          <w:bCs/>
          <w:sz w:val="24"/>
        </w:rPr>
        <w:t>二强化服务力度.</w:t>
      </w:r>
      <w:r w:rsidRPr="006A0137">
        <w:rPr>
          <w:rFonts w:asciiTheme="minorEastAsia" w:hAnsiTheme="minorEastAsia" w:cs="宋体" w:hint="eastAsia"/>
          <w:sz w:val="24"/>
        </w:rPr>
        <w:t>铁西区现有精准扶贫户4</w:t>
      </w:r>
      <w:r w:rsidR="0090531E">
        <w:rPr>
          <w:rFonts w:asciiTheme="minorEastAsia" w:hAnsiTheme="minorEastAsia" w:cs="宋体" w:hint="eastAsia"/>
          <w:sz w:val="24"/>
        </w:rPr>
        <w:t>4</w:t>
      </w:r>
      <w:r w:rsidRPr="006A0137">
        <w:rPr>
          <w:rFonts w:asciiTheme="minorEastAsia" w:hAnsiTheme="minorEastAsia" w:cs="宋体" w:hint="eastAsia"/>
          <w:sz w:val="24"/>
        </w:rPr>
        <w:t>户5</w:t>
      </w:r>
      <w:r w:rsidR="0090531E">
        <w:rPr>
          <w:rFonts w:asciiTheme="minorEastAsia" w:hAnsiTheme="minorEastAsia" w:cs="宋体" w:hint="eastAsia"/>
          <w:sz w:val="24"/>
        </w:rPr>
        <w:t>2</w:t>
      </w:r>
      <w:r w:rsidRPr="006A0137">
        <w:rPr>
          <w:rFonts w:asciiTheme="minorEastAsia" w:hAnsiTheme="minorEastAsia" w:cs="宋体" w:hint="eastAsia"/>
          <w:sz w:val="24"/>
        </w:rPr>
        <w:t>人。为加大对建档立卡贫困残疾人精准康复服务力度，切实解决重度残疾人“办证难”问题，铁西区残联协同评残医生驱车深入到辖区内社区、村屯，为卧床不起和办证困难的11名“疑似残疾人”提供上门服务。残疾人困难生活补贴和重度残疾人护理补贴达到应补尽补。</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bCs/>
          <w:sz w:val="24"/>
        </w:rPr>
        <w:t>三</w:t>
      </w:r>
      <w:r w:rsidR="00F82D36" w:rsidRPr="00F82D36">
        <w:rPr>
          <w:rFonts w:asciiTheme="minorEastAsia" w:hAnsiTheme="minorEastAsia" w:cs="宋体" w:hint="eastAsia"/>
          <w:bCs/>
          <w:sz w:val="24"/>
        </w:rPr>
        <w:t>落实扶残助学金，不断提高残疾人受教育水平。2021年度扶残助学金申报全区残疾人和残疾人子女考入本科以上的申请省级扶残助学13人申请助学金6.5万元；申请市级扶残助学3人申请助学金9000元；</w:t>
      </w:r>
      <w:r w:rsidRPr="006A0137">
        <w:rPr>
          <w:rFonts w:asciiTheme="minorEastAsia" w:hAnsiTheme="minorEastAsia" w:cs="宋体" w:hint="eastAsia"/>
          <w:sz w:val="24"/>
        </w:rPr>
        <w:t>。</w:t>
      </w:r>
    </w:p>
    <w:p w:rsidR="00321C44" w:rsidRPr="006A0137" w:rsidRDefault="00AC08E3">
      <w:pPr>
        <w:textAlignment w:val="baseline"/>
        <w:rPr>
          <w:rFonts w:asciiTheme="minorEastAsia" w:hAnsiTheme="minorEastAsia" w:cs="宋体"/>
          <w:b/>
          <w:bCs/>
          <w:kern w:val="0"/>
          <w:sz w:val="24"/>
        </w:rPr>
      </w:pPr>
      <w:r w:rsidRPr="006A0137">
        <w:rPr>
          <w:rFonts w:asciiTheme="minorEastAsia" w:hAnsiTheme="minorEastAsia" w:cs="宋体" w:hint="eastAsia"/>
          <w:b/>
          <w:bCs/>
          <w:kern w:val="0"/>
          <w:sz w:val="24"/>
        </w:rPr>
        <w:t>二、主动公开政府信息情况</w:t>
      </w:r>
    </w:p>
    <w:tbl>
      <w:tblPr>
        <w:tblW w:w="0" w:type="auto"/>
        <w:jc w:val="center"/>
        <w:tblLayout w:type="fixed"/>
        <w:tblCellMar>
          <w:left w:w="0" w:type="dxa"/>
          <w:right w:w="0" w:type="dxa"/>
        </w:tblCellMar>
        <w:tblLook w:val="04A0"/>
      </w:tblPr>
      <w:tblGrid>
        <w:gridCol w:w="4172"/>
        <w:gridCol w:w="1875"/>
        <w:gridCol w:w="1271"/>
        <w:gridCol w:w="1881"/>
      </w:tblGrid>
      <w:tr w:rsidR="006A0137" w:rsidRPr="006A0137">
        <w:trPr>
          <w:trHeight w:val="495"/>
          <w:jc w:val="center"/>
        </w:trPr>
        <w:tc>
          <w:tcPr>
            <w:tcW w:w="9199"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第二十条第（一）项</w:t>
            </w:r>
          </w:p>
        </w:tc>
      </w:tr>
      <w:tr w:rsidR="006A0137" w:rsidRPr="006A0137">
        <w:trPr>
          <w:trHeight w:val="808"/>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本年新</w:t>
            </w:r>
            <w:r w:rsidRPr="006A0137">
              <w:rPr>
                <w:rFonts w:asciiTheme="majorEastAsia" w:eastAsiaTheme="majorEastAsia" w:hAnsiTheme="majorEastAsia" w:cs="宋体" w:hint="eastAsia"/>
                <w:kern w:val="0"/>
                <w:sz w:val="20"/>
                <w:szCs w:val="20"/>
              </w:rPr>
              <w:br/>
            </w:r>
            <w:r w:rsidRPr="006A0137">
              <w:rPr>
                <w:rFonts w:asciiTheme="majorEastAsia" w:eastAsiaTheme="majorEastAsia" w:hAnsiTheme="majorEastAsia" w:cs="宋体"/>
                <w:kern w:val="0"/>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本年新</w:t>
            </w:r>
            <w:r w:rsidRPr="006A0137">
              <w:rPr>
                <w:rFonts w:asciiTheme="majorEastAsia" w:eastAsiaTheme="majorEastAsia" w:hAnsiTheme="majorEastAsia" w:cs="宋体" w:hint="eastAsia"/>
                <w:kern w:val="0"/>
                <w:sz w:val="20"/>
                <w:szCs w:val="20"/>
              </w:rPr>
              <w:br/>
            </w:r>
            <w:r w:rsidRPr="006A0137">
              <w:rPr>
                <w:rFonts w:asciiTheme="majorEastAsia" w:eastAsiaTheme="majorEastAsia" w:hAnsiTheme="majorEastAsia" w:cs="宋体"/>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400" w:lineRule="exact"/>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对外公开总数量</w:t>
            </w:r>
          </w:p>
        </w:tc>
      </w:tr>
      <w:tr w:rsidR="006A0137" w:rsidRPr="006A0137">
        <w:trPr>
          <w:trHeight w:hRule="exact" w:val="448"/>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第二十条第（五）项</w:t>
            </w:r>
          </w:p>
        </w:tc>
      </w:tr>
      <w:tr w:rsidR="006A0137" w:rsidRPr="006A0137">
        <w:trPr>
          <w:trHeight w:hRule="exact" w:val="70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处理决定数量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行政许可</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其他对外管理服务事项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第二十条第（六）项</w:t>
            </w:r>
          </w:p>
        </w:tc>
      </w:tr>
      <w:tr w:rsidR="006A0137" w:rsidRPr="006A0137">
        <w:trPr>
          <w:trHeight w:hRule="exact" w:val="61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处理决定数量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lastRenderedPageBreak/>
              <w:t>行政处罚</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行政强制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第二十条第（八）项</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上一年项目数量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本年增/减</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行政事业性收费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第二十条第（九）项</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采购项目数量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采购总金额</w:t>
            </w:r>
          </w:p>
        </w:tc>
      </w:tr>
      <w:tr w:rsidR="006A0137" w:rsidRPr="006A0137">
        <w:trPr>
          <w:trHeight w:hRule="exact" w:val="454"/>
          <w:jc w:val="center"/>
        </w:trPr>
        <w:tc>
          <w:tcPr>
            <w:tcW w:w="4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政府集中采购</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0</w:t>
            </w:r>
          </w:p>
        </w:tc>
      </w:tr>
      <w:tr w:rsidR="006A0137" w:rsidRPr="006A0137">
        <w:trPr>
          <w:trHeight w:hRule="exact" w:val="454"/>
          <w:jc w:val="center"/>
        </w:trPr>
        <w:tc>
          <w:tcPr>
            <w:tcW w:w="9199"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321C44" w:rsidRPr="006A0137" w:rsidRDefault="00AC08E3" w:rsidP="009F55D6">
            <w:pPr>
              <w:widowControl/>
              <w:tabs>
                <w:tab w:val="left" w:pos="7513"/>
              </w:tabs>
              <w:jc w:val="left"/>
              <w:rPr>
                <w:rFonts w:asciiTheme="majorEastAsia" w:eastAsiaTheme="majorEastAsia" w:hAnsiTheme="majorEastAsia" w:cs="宋体"/>
                <w:kern w:val="0"/>
                <w:sz w:val="20"/>
                <w:szCs w:val="20"/>
              </w:rPr>
            </w:pPr>
            <w:r w:rsidRPr="006A0137">
              <w:rPr>
                <w:rFonts w:asciiTheme="majorEastAsia" w:eastAsiaTheme="majorEastAsia" w:hAnsiTheme="majorEastAsia" w:cs="宋体" w:hint="eastAsia"/>
                <w:kern w:val="0"/>
                <w:sz w:val="20"/>
                <w:szCs w:val="20"/>
              </w:rPr>
              <w:t>202</w:t>
            </w:r>
            <w:r w:rsidR="00F82D36">
              <w:rPr>
                <w:rFonts w:asciiTheme="majorEastAsia" w:eastAsiaTheme="majorEastAsia" w:hAnsiTheme="majorEastAsia" w:cs="宋体" w:hint="eastAsia"/>
                <w:kern w:val="0"/>
                <w:sz w:val="20"/>
                <w:szCs w:val="20"/>
              </w:rPr>
              <w:t>1</w:t>
            </w:r>
            <w:r w:rsidRPr="006A0137">
              <w:rPr>
                <w:rFonts w:asciiTheme="majorEastAsia" w:eastAsiaTheme="majorEastAsia" w:hAnsiTheme="majorEastAsia" w:cs="宋体" w:hint="eastAsia"/>
                <w:kern w:val="0"/>
                <w:sz w:val="20"/>
                <w:szCs w:val="20"/>
              </w:rPr>
              <w:t>年本行政区域（或本部门）政府信息公开发布总数量（非新闻类、消息类）：</w:t>
            </w:r>
            <w:r w:rsidR="009F55D6">
              <w:rPr>
                <w:rFonts w:asciiTheme="majorEastAsia" w:eastAsiaTheme="majorEastAsia" w:hAnsiTheme="majorEastAsia" w:cs="宋体" w:hint="eastAsia"/>
                <w:kern w:val="0"/>
                <w:sz w:val="20"/>
                <w:szCs w:val="20"/>
              </w:rPr>
              <w:t>0</w:t>
            </w:r>
          </w:p>
        </w:tc>
      </w:tr>
    </w:tbl>
    <w:p w:rsidR="00321C44" w:rsidRPr="006A0137" w:rsidRDefault="00321C44">
      <w:pPr>
        <w:widowControl/>
        <w:shd w:val="clear" w:color="auto" w:fill="FFFFFF"/>
        <w:tabs>
          <w:tab w:val="left" w:pos="7513"/>
        </w:tabs>
        <w:ind w:firstLine="480"/>
        <w:rPr>
          <w:rFonts w:asciiTheme="minorEastAsia" w:hAnsiTheme="minorEastAsia" w:cs="宋体"/>
          <w:kern w:val="0"/>
          <w:sz w:val="24"/>
        </w:rPr>
      </w:pPr>
    </w:p>
    <w:p w:rsidR="00321C44" w:rsidRPr="006A0137" w:rsidRDefault="00AC08E3">
      <w:pPr>
        <w:widowControl/>
        <w:shd w:val="clear" w:color="auto" w:fill="FFFFFF"/>
        <w:tabs>
          <w:tab w:val="left" w:pos="7513"/>
        </w:tabs>
        <w:spacing w:line="400" w:lineRule="exact"/>
        <w:rPr>
          <w:rFonts w:asciiTheme="minorEastAsia" w:hAnsiTheme="minorEastAsia" w:cs="宋体"/>
          <w:kern w:val="0"/>
          <w:sz w:val="24"/>
        </w:rPr>
      </w:pPr>
      <w:r w:rsidRPr="006A0137">
        <w:rPr>
          <w:rFonts w:asciiTheme="minorEastAsia" w:hAnsiTheme="minorEastAsia" w:cs="宋体" w:hint="eastAsia"/>
          <w:b/>
          <w:bCs/>
          <w:kern w:val="0"/>
          <w:sz w:val="24"/>
        </w:rPr>
        <w:t>三、收到和处理政府信息公开申请情况</w:t>
      </w:r>
    </w:p>
    <w:tbl>
      <w:tblPr>
        <w:tblW w:w="0" w:type="auto"/>
        <w:jc w:val="center"/>
        <w:tblLayout w:type="fixed"/>
        <w:tblCellMar>
          <w:left w:w="0" w:type="dxa"/>
          <w:right w:w="0" w:type="dxa"/>
        </w:tblCellMar>
        <w:tblLook w:val="04A0"/>
      </w:tblPr>
      <w:tblGrid>
        <w:gridCol w:w="640"/>
        <w:gridCol w:w="854"/>
        <w:gridCol w:w="2348"/>
        <w:gridCol w:w="706"/>
        <w:gridCol w:w="707"/>
        <w:gridCol w:w="740"/>
        <w:gridCol w:w="886"/>
        <w:gridCol w:w="919"/>
        <w:gridCol w:w="706"/>
        <w:gridCol w:w="565"/>
      </w:tblGrid>
      <w:tr w:rsidR="006A0137" w:rsidRPr="006A0137">
        <w:trPr>
          <w:jc w:val="center"/>
        </w:trPr>
        <w:tc>
          <w:tcPr>
            <w:tcW w:w="384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（本列数据的勾稽关系为：第一项加第二项之和，等于第三项加第四项之和）</w:t>
            </w:r>
          </w:p>
        </w:tc>
        <w:tc>
          <w:tcPr>
            <w:tcW w:w="522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申请人情况</w:t>
            </w:r>
          </w:p>
        </w:tc>
      </w:tr>
      <w:tr w:rsidR="006A0137" w:rsidRPr="006A0137">
        <w:trPr>
          <w:jc w:val="center"/>
        </w:trPr>
        <w:tc>
          <w:tcPr>
            <w:tcW w:w="3842" w:type="dxa"/>
            <w:gridSpan w:val="3"/>
            <w:vMerge/>
            <w:tcBorders>
              <w:top w:val="single" w:sz="8" w:space="0" w:color="auto"/>
              <w:left w:val="single" w:sz="8" w:space="0" w:color="auto"/>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自然人</w:t>
            </w:r>
          </w:p>
        </w:tc>
        <w:tc>
          <w:tcPr>
            <w:tcW w:w="395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r>
      <w:tr w:rsidR="006A0137" w:rsidRPr="006A0137">
        <w:trPr>
          <w:jc w:val="center"/>
        </w:trPr>
        <w:tc>
          <w:tcPr>
            <w:tcW w:w="3842" w:type="dxa"/>
            <w:gridSpan w:val="3"/>
            <w:vMerge/>
            <w:tcBorders>
              <w:top w:val="single" w:sz="8" w:space="0" w:color="auto"/>
              <w:left w:val="single" w:sz="8" w:space="0" w:color="auto"/>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6"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商业企业</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科研机构</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社会公益组织</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法律服务机构</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w:t>
            </w:r>
          </w:p>
        </w:tc>
        <w:tc>
          <w:tcPr>
            <w:tcW w:w="565"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spacing w:line="320" w:lineRule="exact"/>
              <w:jc w:val="left"/>
              <w:rPr>
                <w:rFonts w:asciiTheme="minorEastAsia" w:hAnsiTheme="minorEastAsia" w:cs="宋体"/>
                <w:kern w:val="0"/>
                <w:sz w:val="20"/>
                <w:szCs w:val="20"/>
              </w:rPr>
            </w:pPr>
          </w:p>
        </w:tc>
      </w:tr>
      <w:tr w:rsidR="006A0137" w:rsidRPr="006A0137">
        <w:trPr>
          <w:trHeight w:val="46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一、本年新收政府信息公开申请数量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spacing w:line="320" w:lineRule="exact"/>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31"/>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二、上年结转政府信息公开申请数量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rsidP="006A0137">
            <w:pPr>
              <w:widowControl/>
              <w:tabs>
                <w:tab w:val="left" w:pos="7513"/>
              </w:tabs>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383"/>
          <w:jc w:val="center"/>
        </w:trPr>
        <w:tc>
          <w:tcPr>
            <w:tcW w:w="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三、本年度办理结果</w:t>
            </w: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（一）予以公开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（二）部分公开（区分处理的，只计这一情形，不计其他情形）</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（三）不予公开</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1.属于国家秘密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2.其他法律行政法规禁止公开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3.危及“三安全一稳定”</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4.保护第三方合法权益</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5.</w:t>
            </w:r>
            <w:r w:rsidRPr="006A0137">
              <w:rPr>
                <w:rFonts w:asciiTheme="minorEastAsia" w:hAnsiTheme="minorEastAsia" w:cs="宋体" w:hint="eastAsia"/>
                <w:bCs/>
                <w:kern w:val="0"/>
                <w:position w:val="6"/>
                <w:sz w:val="20"/>
                <w:szCs w:val="20"/>
              </w:rPr>
              <w:t>属于三类内部事务信息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6.属于四类过程性信息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7.属于行政执法案卷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8.属于行政查询事项</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（四）无法提供</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1.本机关不掌握相关政府信息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2.没有现成信息需要另行制作</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3.补正后申请内容仍不明确</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（五）</w:t>
            </w:r>
            <w:r w:rsidRPr="006A0137">
              <w:rPr>
                <w:rFonts w:asciiTheme="minorEastAsia" w:hAnsiTheme="minorEastAsia" w:cs="宋体" w:hint="eastAsia"/>
                <w:kern w:val="0"/>
                <w:sz w:val="20"/>
                <w:szCs w:val="20"/>
              </w:rPr>
              <w:lastRenderedPageBreak/>
              <w:t>不予处理</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lastRenderedPageBreak/>
              <w:t>1.信访举报投诉类申请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2.重复申请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hRule="exact" w:val="369"/>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3.要求提供公开出版物</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4.无正当理由大量反复申请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85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spacing w:line="300" w:lineRule="exact"/>
              <w:jc w:val="left"/>
              <w:rPr>
                <w:rFonts w:asciiTheme="minorEastAsia" w:hAnsiTheme="minorEastAsia" w:cs="宋体"/>
                <w:kern w:val="0"/>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5.要求行政机关确认或重新出具已获取信息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383"/>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（六）其他处理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16"/>
          <w:jc w:val="center"/>
        </w:trPr>
        <w:tc>
          <w:tcPr>
            <w:tcW w:w="640"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spacing w:line="300" w:lineRule="exact"/>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（七）总计</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rsidP="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 </w:t>
            </w:r>
            <w:r w:rsidR="006A0137"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6A0137">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r w:rsidR="006A0137" w:rsidRPr="006A0137">
        <w:trPr>
          <w:trHeight w:val="40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四、结转下年度继续办理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bl>
    <w:p w:rsidR="00321C44" w:rsidRPr="006A0137" w:rsidRDefault="00AC08E3">
      <w:pPr>
        <w:widowControl/>
        <w:shd w:val="clear" w:color="auto" w:fill="FFFFFF"/>
        <w:tabs>
          <w:tab w:val="left" w:pos="7513"/>
        </w:tabs>
        <w:spacing w:line="400" w:lineRule="exact"/>
        <w:ind w:firstLineChars="200" w:firstLine="482"/>
        <w:rPr>
          <w:rFonts w:asciiTheme="minorEastAsia" w:hAnsiTheme="minorEastAsia" w:cs="宋体"/>
          <w:b/>
          <w:bCs/>
          <w:kern w:val="0"/>
          <w:sz w:val="24"/>
        </w:rPr>
      </w:pPr>
      <w:r w:rsidRPr="006A0137">
        <w:rPr>
          <w:rFonts w:asciiTheme="minorEastAsia" w:hAnsiTheme="minorEastAsia" w:cs="宋体" w:hint="eastAsia"/>
          <w:b/>
          <w:bCs/>
          <w:kern w:val="0"/>
          <w:sz w:val="24"/>
        </w:rPr>
        <w:t>四、政府信息公开行政复议、行政诉讼情况</w:t>
      </w:r>
    </w:p>
    <w:p w:rsidR="00321C44" w:rsidRPr="006A0137" w:rsidRDefault="00321C44">
      <w:pPr>
        <w:widowControl/>
        <w:shd w:val="clear" w:color="auto" w:fill="FFFFFF"/>
        <w:tabs>
          <w:tab w:val="left" w:pos="7513"/>
        </w:tabs>
        <w:ind w:firstLine="480"/>
        <w:rPr>
          <w:rFonts w:asciiTheme="minorEastAsia" w:hAnsiTheme="minorEastAsia" w:cs="宋体"/>
          <w:kern w:val="0"/>
          <w:sz w:val="24"/>
        </w:rPr>
      </w:pPr>
    </w:p>
    <w:tbl>
      <w:tblPr>
        <w:tblW w:w="0" w:type="auto"/>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A0137" w:rsidRPr="006A0137">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行政诉讼</w:t>
            </w:r>
          </w:p>
        </w:tc>
      </w:tr>
      <w:tr w:rsidR="006A0137" w:rsidRPr="006A0137">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复议后起诉</w:t>
            </w:r>
          </w:p>
        </w:tc>
      </w:tr>
      <w:tr w:rsidR="006A0137" w:rsidRPr="006A0137">
        <w:trPr>
          <w:jc w:val="center"/>
        </w:trPr>
        <w:tc>
          <w:tcPr>
            <w:tcW w:w="604" w:type="dxa"/>
            <w:vMerge/>
            <w:tcBorders>
              <w:top w:val="nil"/>
              <w:left w:val="single" w:sz="8" w:space="0" w:color="auto"/>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nil"/>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04"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658" w:type="dxa"/>
            <w:vMerge/>
            <w:tcBorders>
              <w:top w:val="single" w:sz="8" w:space="0" w:color="auto"/>
              <w:left w:val="nil"/>
              <w:bottom w:val="single" w:sz="8" w:space="0" w:color="auto"/>
              <w:right w:val="single" w:sz="8" w:space="0" w:color="auto"/>
            </w:tcBorders>
            <w:vAlign w:val="center"/>
          </w:tcPr>
          <w:p w:rsidR="00321C44" w:rsidRPr="006A0137" w:rsidRDefault="00321C44">
            <w:pPr>
              <w:widowControl/>
              <w:tabs>
                <w:tab w:val="left" w:pos="7513"/>
              </w:tabs>
              <w:jc w:val="left"/>
              <w:rPr>
                <w:rFonts w:asciiTheme="minorEastAsia" w:hAnsiTheme="minorEastAsia" w:cs="宋体"/>
                <w:kern w:val="0"/>
                <w:sz w:val="20"/>
                <w:szCs w:val="20"/>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总计</w:t>
            </w:r>
          </w:p>
        </w:tc>
      </w:tr>
      <w:tr w:rsidR="006A0137" w:rsidRPr="006A0137">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center"/>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1C44" w:rsidRPr="006A0137" w:rsidRDefault="00AC08E3">
            <w:pPr>
              <w:widowControl/>
              <w:tabs>
                <w:tab w:val="left" w:pos="7513"/>
              </w:tabs>
              <w:jc w:val="left"/>
              <w:rPr>
                <w:rFonts w:asciiTheme="minorEastAsia" w:hAnsiTheme="minorEastAsia" w:cs="宋体"/>
                <w:kern w:val="0"/>
                <w:sz w:val="20"/>
                <w:szCs w:val="20"/>
              </w:rPr>
            </w:pPr>
            <w:r w:rsidRPr="006A0137">
              <w:rPr>
                <w:rFonts w:asciiTheme="minorEastAsia" w:hAnsiTheme="minorEastAsia" w:cs="宋体" w:hint="eastAsia"/>
                <w:kern w:val="0"/>
                <w:sz w:val="20"/>
                <w:szCs w:val="20"/>
              </w:rPr>
              <w:t>0</w:t>
            </w:r>
          </w:p>
        </w:tc>
      </w:tr>
    </w:tbl>
    <w:p w:rsidR="00321C44" w:rsidRPr="006A0137" w:rsidRDefault="00AC08E3">
      <w:pPr>
        <w:widowControl/>
        <w:shd w:val="clear" w:color="auto" w:fill="FFFFFF"/>
        <w:tabs>
          <w:tab w:val="left" w:pos="7513"/>
        </w:tabs>
        <w:spacing w:line="400" w:lineRule="exact"/>
        <w:rPr>
          <w:rFonts w:asciiTheme="minorEastAsia" w:hAnsiTheme="minorEastAsia" w:cs="宋体"/>
          <w:b/>
          <w:bCs/>
          <w:kern w:val="0"/>
          <w:sz w:val="24"/>
        </w:rPr>
      </w:pPr>
      <w:r w:rsidRPr="006A0137">
        <w:rPr>
          <w:rFonts w:asciiTheme="minorEastAsia" w:hAnsiTheme="minorEastAsia" w:cs="宋体" w:hint="eastAsia"/>
          <w:b/>
          <w:bCs/>
          <w:kern w:val="0"/>
          <w:sz w:val="24"/>
        </w:rPr>
        <w:t>五、存在的主要问题及改进情况</w:t>
      </w:r>
    </w:p>
    <w:p w:rsidR="00321C44" w:rsidRPr="006A0137" w:rsidRDefault="00AC08E3" w:rsidP="006A0137">
      <w:pPr>
        <w:widowControl/>
        <w:shd w:val="clear" w:color="auto" w:fill="FFFFFF"/>
        <w:tabs>
          <w:tab w:val="left" w:pos="7513"/>
        </w:tabs>
        <w:spacing w:line="400" w:lineRule="exact"/>
        <w:ind w:firstLineChars="200" w:firstLine="480"/>
        <w:rPr>
          <w:rFonts w:asciiTheme="minorEastAsia" w:hAnsiTheme="minorEastAsia" w:cs="宋体"/>
          <w:kern w:val="0"/>
          <w:sz w:val="24"/>
        </w:rPr>
      </w:pPr>
      <w:r w:rsidRPr="006A0137">
        <w:rPr>
          <w:rFonts w:asciiTheme="minorEastAsia" w:hAnsiTheme="minorEastAsia" w:cs="宋体" w:hint="eastAsia"/>
          <w:kern w:val="0"/>
          <w:sz w:val="24"/>
        </w:rPr>
        <w:t>1、存在的主要问题</w:t>
      </w:r>
    </w:p>
    <w:p w:rsidR="00F82D36" w:rsidRPr="006A0137" w:rsidRDefault="00AC08E3" w:rsidP="00F82D36">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一</w:t>
      </w:r>
      <w:r w:rsidR="00F82D36" w:rsidRPr="006A0137">
        <w:rPr>
          <w:rFonts w:asciiTheme="minorEastAsia" w:hAnsiTheme="minorEastAsia" w:cs="宋体" w:hint="eastAsia"/>
          <w:sz w:val="24"/>
        </w:rPr>
        <w:t>是信息公开的宣传力度还不够，很多残疾人群众的信息接受渠道较窄，可以通过多设点、多走访、多了解等宣传方式进一步加强信息公开宣传力度。</w:t>
      </w:r>
    </w:p>
    <w:p w:rsidR="00F82D36" w:rsidRDefault="00AC08E3" w:rsidP="00F82D36">
      <w:pPr>
        <w:ind w:firstLineChars="200" w:firstLine="480"/>
        <w:textAlignment w:val="baseline"/>
        <w:rPr>
          <w:rFonts w:asciiTheme="minorEastAsia" w:hAnsiTheme="minorEastAsia" w:cs="宋体" w:hint="eastAsia"/>
          <w:sz w:val="24"/>
        </w:rPr>
      </w:pPr>
      <w:r w:rsidRPr="006A0137">
        <w:rPr>
          <w:rFonts w:asciiTheme="minorEastAsia" w:hAnsiTheme="minorEastAsia" w:cs="宋体" w:hint="eastAsia"/>
          <w:sz w:val="24"/>
        </w:rPr>
        <w:t>二</w:t>
      </w:r>
      <w:r w:rsidR="00F82D36" w:rsidRPr="006A0137">
        <w:rPr>
          <w:rFonts w:asciiTheme="minorEastAsia" w:hAnsiTheme="minorEastAsia" w:cs="宋体" w:hint="eastAsia"/>
          <w:sz w:val="24"/>
        </w:rPr>
        <w:t>是政务信息公开工作及时性不够，信息偶尔未在第一时间更新</w:t>
      </w:r>
    </w:p>
    <w:p w:rsidR="00321C44" w:rsidRPr="006A0137" w:rsidRDefault="00AC08E3" w:rsidP="00F82D36">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三是对残疾人群众的政策解读、思想引导等工作还要进一步深入，部分残疾人只关心与自己切身利益相关的公开信息，对其他政策法规不太重视。</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2、改进情况</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一是搭建残疾人就业服务平台，与残疾人自强自立先进典型姜红沟通，定期到示范点为有就业需求的残疾人和社区居民免费传授“中国结”编织、手工串珠技术，进一步解决不便外出工作的残疾人和残疾人家属及社区下岗再就业难人群的就业问题。</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二是法律咨询服务，广泛动员宣传社会爱心人士，免费为残疾人和苦难的低收入群体提供法律援助，更好的保障合法权益，推进法治铁西建设。</w:t>
      </w:r>
    </w:p>
    <w:p w:rsidR="00321C44" w:rsidRPr="006A0137" w:rsidRDefault="00AC08E3">
      <w:pPr>
        <w:ind w:firstLineChars="200" w:firstLine="480"/>
        <w:textAlignment w:val="baseline"/>
        <w:rPr>
          <w:rFonts w:asciiTheme="minorEastAsia" w:hAnsiTheme="minorEastAsia" w:cs="宋体"/>
          <w:sz w:val="24"/>
        </w:rPr>
      </w:pPr>
      <w:r w:rsidRPr="006A0137">
        <w:rPr>
          <w:rFonts w:asciiTheme="minorEastAsia" w:hAnsiTheme="minorEastAsia" w:cs="宋体" w:hint="eastAsia"/>
          <w:sz w:val="24"/>
        </w:rPr>
        <w:t>三是成立帮扶驿站，发动捐助活动，将闲置的衣物、家用电器清理干净，送到示范点社区，做好台账登记，并陈列摆放好，提供给有需求的残疾人和社区低保户，打造阳光残联、阳光社区。</w:t>
      </w:r>
    </w:p>
    <w:p w:rsidR="006A0137" w:rsidRDefault="006A0137" w:rsidP="006A0137">
      <w:pPr>
        <w:ind w:firstLineChars="200" w:firstLine="562"/>
        <w:textAlignment w:val="baseline"/>
        <w:rPr>
          <w:rFonts w:asciiTheme="minorEastAsia" w:hAnsiTheme="minorEastAsia" w:cs="仿宋_GB2312"/>
          <w:b/>
          <w:sz w:val="28"/>
          <w:szCs w:val="28"/>
        </w:rPr>
      </w:pPr>
      <w:r w:rsidRPr="006A0137">
        <w:rPr>
          <w:rFonts w:asciiTheme="minorEastAsia" w:hAnsiTheme="minorEastAsia" w:cs="仿宋_GB2312" w:hint="eastAsia"/>
          <w:b/>
          <w:sz w:val="28"/>
          <w:szCs w:val="28"/>
        </w:rPr>
        <w:t>六、其他需要报告的事项</w:t>
      </w:r>
    </w:p>
    <w:p w:rsidR="00321C44" w:rsidRPr="006A0137" w:rsidRDefault="006A0137" w:rsidP="006A0137">
      <w:pPr>
        <w:ind w:firstLineChars="200" w:firstLine="480"/>
        <w:textAlignment w:val="baseline"/>
        <w:rPr>
          <w:rFonts w:asciiTheme="minorEastAsia" w:hAnsiTheme="minorEastAsia" w:cs="仿宋_GB2312"/>
          <w:b/>
          <w:sz w:val="24"/>
        </w:rPr>
      </w:pPr>
      <w:r w:rsidRPr="006A0137">
        <w:rPr>
          <w:rFonts w:asciiTheme="minorEastAsia" w:hAnsiTheme="minorEastAsia" w:cs="仿宋_GB2312" w:hint="eastAsia"/>
          <w:sz w:val="24"/>
        </w:rPr>
        <w:t>本年度无其他需要报告的事项。</w:t>
      </w:r>
    </w:p>
    <w:p w:rsidR="00321C44" w:rsidRPr="006A0137" w:rsidRDefault="00321C44">
      <w:pPr>
        <w:ind w:firstLineChars="200" w:firstLine="640"/>
        <w:textAlignment w:val="baseline"/>
        <w:rPr>
          <w:rFonts w:ascii="仿宋_GB2312" w:eastAsia="仿宋_GB2312" w:hAnsi="仿宋_GB2312" w:cs="仿宋_GB2312"/>
          <w:sz w:val="32"/>
          <w:szCs w:val="32"/>
        </w:rPr>
      </w:pPr>
    </w:p>
    <w:p w:rsidR="00321C44" w:rsidRPr="006A0137" w:rsidRDefault="00AC08E3" w:rsidP="006A0137">
      <w:pPr>
        <w:ind w:firstLineChars="200" w:firstLine="640"/>
        <w:jc w:val="right"/>
        <w:textAlignment w:val="baseline"/>
        <w:rPr>
          <w:rFonts w:ascii="宋体" w:eastAsia="宋体" w:hAnsi="宋体" w:cs="宋体"/>
          <w:sz w:val="24"/>
        </w:rPr>
      </w:pPr>
      <w:r w:rsidRPr="006A0137">
        <w:rPr>
          <w:rFonts w:ascii="仿宋_GB2312" w:eastAsia="仿宋_GB2312" w:hAnsi="仿宋_GB2312" w:cs="仿宋_GB2312" w:hint="eastAsia"/>
          <w:sz w:val="32"/>
          <w:szCs w:val="32"/>
        </w:rPr>
        <w:lastRenderedPageBreak/>
        <w:t xml:space="preserve"> </w:t>
      </w:r>
    </w:p>
    <w:p w:rsidR="00321C44" w:rsidRPr="006A0137" w:rsidRDefault="00321C44">
      <w:pPr>
        <w:textAlignment w:val="baseline"/>
        <w:rPr>
          <w:rFonts w:ascii="宋体" w:eastAsia="宋体" w:hAnsi="宋体" w:cs="宋体"/>
          <w:sz w:val="24"/>
        </w:rPr>
      </w:pPr>
    </w:p>
    <w:sectPr w:rsidR="00321C44" w:rsidRPr="006A0137" w:rsidSect="00EF1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21C44"/>
    <w:rsid w:val="00112206"/>
    <w:rsid w:val="00321C44"/>
    <w:rsid w:val="006A0137"/>
    <w:rsid w:val="00700D66"/>
    <w:rsid w:val="007B53D1"/>
    <w:rsid w:val="008F537F"/>
    <w:rsid w:val="0090531E"/>
    <w:rsid w:val="009F55D6"/>
    <w:rsid w:val="00AC08E3"/>
    <w:rsid w:val="00C35FD3"/>
    <w:rsid w:val="00EF1E2B"/>
    <w:rsid w:val="00F82D36"/>
    <w:rsid w:val="085A2E4F"/>
    <w:rsid w:val="0D962A64"/>
    <w:rsid w:val="12B001CD"/>
    <w:rsid w:val="21163100"/>
    <w:rsid w:val="23921A8A"/>
    <w:rsid w:val="23C00965"/>
    <w:rsid w:val="342D5C71"/>
    <w:rsid w:val="346A13C9"/>
    <w:rsid w:val="39565D37"/>
    <w:rsid w:val="3A456748"/>
    <w:rsid w:val="3D7F2A17"/>
    <w:rsid w:val="419E304A"/>
    <w:rsid w:val="41B52851"/>
    <w:rsid w:val="44591DE4"/>
    <w:rsid w:val="49717183"/>
    <w:rsid w:val="4C4672FA"/>
    <w:rsid w:val="4EF37ADA"/>
    <w:rsid w:val="58105A12"/>
    <w:rsid w:val="587963B0"/>
    <w:rsid w:val="5CBF63EA"/>
    <w:rsid w:val="60C06A5B"/>
    <w:rsid w:val="64840916"/>
    <w:rsid w:val="6FAA3D75"/>
    <w:rsid w:val="7EE85C46"/>
    <w:rsid w:val="7F730305"/>
    <w:rsid w:val="7FD65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E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F1E2B"/>
    <w:pPr>
      <w:spacing w:beforeAutospacing="1" w:afterAutospacing="1"/>
      <w:jc w:val="left"/>
    </w:pPr>
    <w:rPr>
      <w:rFonts w:cs="Times New Roman"/>
      <w:kern w:val="0"/>
      <w:sz w:val="24"/>
    </w:rPr>
  </w:style>
  <w:style w:type="character" w:styleId="a4">
    <w:name w:val="Hyperlink"/>
    <w:basedOn w:val="a0"/>
    <w:unhideWhenUsed/>
    <w:qFormat/>
    <w:rsid w:val="00EF1E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unhideWhenUsed/>
    <w:qForma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2021-12-28T06:36:00Z</dcterms:created>
  <dcterms:modified xsi:type="dcterms:W3CDTF">2021-12-28T06:36:00Z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