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四平市铁西区住房和城乡建设局2022年政府信息公开工作年度报告</w:t>
      </w:r>
    </w:p>
    <w:p>
      <w:pPr>
        <w:jc w:val="center"/>
        <w:rPr>
          <w:rFonts w:hint="eastAsia" w:ascii="宋体" w:hAnsi="宋体" w:eastAsia="宋体" w:cs="宋体"/>
          <w:b/>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在区委、区政府的正确领导下，我局全面深入贯彻落实党的二十大精神，严格执行《中华人民共和国政府信息公开条例》，按照国务院和省、市、区关于政府信息公开工作的决策部署和总体要求，全力推进政府信息公开制度规范常态化，提高住建领域行政效能，推进住建领域政务服务体系建设，提高住建部门公信力，为全区住建领域科学发展创造了良好的环境。现住建局编制了2022年度政府信息公开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报告中所列数据的统计期限自2022年1月1日起至2022年12月31日止。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（一）组织推动全省政府信息公开工作。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组织学习《中华人民共和国政府信息公开条例》等重点内容，进一步提升抓好政府信息公开意识。明确主要任务和措施。局领导定期研究部署政府信息公开工作，结合不同时期政府信息公开工作任务要求，及时调整工作安排，不断更新完善公开内容，推进政府信息公开工作扎实深入开展，确保信息公开与保密工作相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(二）主动公开情况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局政府信息公开坚持以习近平新时代中国特色社会主义思想为指导，严格按照“谁提供，谁审核，谁负责”的原则，确保公开信息的准确性、权威性、完整性和时效性；认真加强组织和管理，完善信息公开制度，不断完善公开内容，强化载体建设，规范办事行为，及时主动发布信息。2022年，我局在区政府门户网站上，主动公开各类信息67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（三）依申请公开情况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新修订的《条例》要求，区分主动公开、依申请公开、不予公开工作信息，着力推进本部门政府信息公开工作的制度化、规范化。对依申请公开的事项，由申请人提出申请，局办公室负责受理，按照权责归属交由相关股办理并形成书面意见，经分管领导审批后及时进行答复。2022年我单位收到依申请公开申请数量为0，办理数量为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政府信息公开条例》和省、市、区关于政务公开工作的有关文件要求，加强对政府信息管理，明确工作职责、明确一名领导具体分管政府信息公开工作，一名专职人员负责政府信息公开工作，并负责本部门门户网站的日常管理和维护，及时将有关文件、信息发布在网上。切实提升对政府信息的管理使用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认真开展网站监管，对网站栏目及政务公开情况及时进行查看检查，对上级反馈的问题及时整改，确保不出现错别字、空白栏目、长久不更新栏目、信息公开不到位等情况出现。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（六）监督保障情况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严控公开时限。对需要公开的事项，严格按照《中华人民共和国政府信息公开条例》关于政府信息公开和相关政策文件规定的时限要求，及时在对应网站上发布，保证信息公开的及时性和规范性。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74</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22.54</w:t>
            </w:r>
          </w:p>
        </w:tc>
      </w:tr>
    </w:tbl>
    <w:p>
      <w:pPr>
        <w:numPr>
          <w:ilvl w:val="0"/>
          <w:numId w:val="0"/>
        </w:numPr>
        <w:ind w:firstLine="482" w:firstLineChars="200"/>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696" w:type="dxa"/>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729"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707" w:type="dxa"/>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762"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685" w:type="dxa"/>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631"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0"/>
        </w:numPr>
        <w:ind w:firstLine="643" w:firstLineChars="200"/>
        <w:rPr>
          <w:rFonts w:ascii="宋体" w:hAnsi="宋体" w:eastAsia="宋体" w:cs="宋体"/>
          <w:b/>
          <w:bCs/>
          <w:sz w:val="24"/>
          <w:szCs w:val="24"/>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宋体" w:hAnsi="宋体" w:eastAsia="宋体" w:cs="宋体"/>
          <w:sz w:val="24"/>
          <w:szCs w:val="24"/>
        </w:rPr>
      </w:pPr>
      <w:r>
        <w:rPr>
          <w:rFonts w:hint="eastAsia" w:ascii="宋体" w:hAnsi="宋体" w:eastAsia="宋体" w:cs="宋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一是信息更新还不够及时，公开质量有待提高。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二是部分工作人员政务信息公开的意识有待进一步提高，主动公开政务信息的责任意识还比较薄弱。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一是统一认识规范工作流程。进一步梳理所掌握的政务信息，及时提供定期维护，确保政务信息公开工作能按照既定的工作流程有效运作。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二是认真梳理充实公开内容。我局将进一步梳理政务信息，及时完善更新主动公开的政务信息目录，保证公开信息的完整性和准确性。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三是进一步加大培训力度提升业务水平。开展政务信息公开业务培训，不断提高政务信息工作人员的综合素质，增强处理信息的能力，提高信息质量。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宋体" w:hAnsi="宋体" w:eastAsia="宋体" w:cs="宋体"/>
          <w:b/>
          <w:bCs/>
          <w:sz w:val="32"/>
          <w:szCs w:val="32"/>
        </w:rPr>
      </w:pPr>
      <w:r>
        <w:rPr>
          <w:rFonts w:hint="eastAsia" w:ascii="宋体" w:hAnsi="宋体" w:eastAsia="宋体" w:cs="宋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无其他报告事项。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四平市铁西区住房和城乡建设局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2023年1月19日</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DUxNGQ5Y2NiNDI3NGNiMDAzYmUyZTAyYWVlYjk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7F37DAB"/>
    <w:rsid w:val="0AC4028D"/>
    <w:rsid w:val="0B924A77"/>
    <w:rsid w:val="0D1C7438"/>
    <w:rsid w:val="0D9A07CB"/>
    <w:rsid w:val="0EF95E3E"/>
    <w:rsid w:val="0F841BAC"/>
    <w:rsid w:val="0FFF2C05"/>
    <w:rsid w:val="101A7A9C"/>
    <w:rsid w:val="10D94ED9"/>
    <w:rsid w:val="129E2F84"/>
    <w:rsid w:val="12AB7BEB"/>
    <w:rsid w:val="13916BB7"/>
    <w:rsid w:val="16F67B0A"/>
    <w:rsid w:val="18DE0B8B"/>
    <w:rsid w:val="1A5B2183"/>
    <w:rsid w:val="1A95428A"/>
    <w:rsid w:val="1BF24C7D"/>
    <w:rsid w:val="1BFD88F0"/>
    <w:rsid w:val="1D326A70"/>
    <w:rsid w:val="1EF47C7F"/>
    <w:rsid w:val="1F2E72EB"/>
    <w:rsid w:val="1F4E26E0"/>
    <w:rsid w:val="1F52DA0E"/>
    <w:rsid w:val="21463587"/>
    <w:rsid w:val="243F343F"/>
    <w:rsid w:val="28975D5D"/>
    <w:rsid w:val="2AFE7BEA"/>
    <w:rsid w:val="2B25609B"/>
    <w:rsid w:val="2BC71311"/>
    <w:rsid w:val="2F1232C3"/>
    <w:rsid w:val="2F560859"/>
    <w:rsid w:val="2F56299D"/>
    <w:rsid w:val="31C902D1"/>
    <w:rsid w:val="32886AD4"/>
    <w:rsid w:val="345E7490"/>
    <w:rsid w:val="34707FB0"/>
    <w:rsid w:val="36781544"/>
    <w:rsid w:val="371D10E5"/>
    <w:rsid w:val="37DA5F5D"/>
    <w:rsid w:val="38FD2077"/>
    <w:rsid w:val="393E5745"/>
    <w:rsid w:val="3B281EB3"/>
    <w:rsid w:val="3B291E3A"/>
    <w:rsid w:val="3BA453BA"/>
    <w:rsid w:val="3CEE7A9B"/>
    <w:rsid w:val="3E620C74"/>
    <w:rsid w:val="3ED76D58"/>
    <w:rsid w:val="3F7A3E71"/>
    <w:rsid w:val="3FF78386"/>
    <w:rsid w:val="400E44FB"/>
    <w:rsid w:val="41D16C02"/>
    <w:rsid w:val="450C3AC5"/>
    <w:rsid w:val="45333C19"/>
    <w:rsid w:val="45801017"/>
    <w:rsid w:val="49181DCF"/>
    <w:rsid w:val="492A6A34"/>
    <w:rsid w:val="4A02676F"/>
    <w:rsid w:val="4ABF6377"/>
    <w:rsid w:val="4BCC7E94"/>
    <w:rsid w:val="4D5301FB"/>
    <w:rsid w:val="4FAE28FF"/>
    <w:rsid w:val="4FAE66AC"/>
    <w:rsid w:val="51D907C9"/>
    <w:rsid w:val="51F30D0B"/>
    <w:rsid w:val="524F43BC"/>
    <w:rsid w:val="532A236B"/>
    <w:rsid w:val="56B07488"/>
    <w:rsid w:val="57FCA30F"/>
    <w:rsid w:val="592605B1"/>
    <w:rsid w:val="59CF4E9D"/>
    <w:rsid w:val="5B51267D"/>
    <w:rsid w:val="5B7E54F8"/>
    <w:rsid w:val="5C760D5E"/>
    <w:rsid w:val="5DADB8FF"/>
    <w:rsid w:val="608B5AEC"/>
    <w:rsid w:val="60C72177"/>
    <w:rsid w:val="61382CF4"/>
    <w:rsid w:val="62FB89F7"/>
    <w:rsid w:val="663C01D2"/>
    <w:rsid w:val="669B2BD8"/>
    <w:rsid w:val="66EF5667"/>
    <w:rsid w:val="67FFDECA"/>
    <w:rsid w:val="68EE3DB7"/>
    <w:rsid w:val="69895E31"/>
    <w:rsid w:val="69912B2A"/>
    <w:rsid w:val="6DA66DF4"/>
    <w:rsid w:val="6EAFA0BB"/>
    <w:rsid w:val="6F0E25FB"/>
    <w:rsid w:val="6F9D3BB3"/>
    <w:rsid w:val="6FB026B2"/>
    <w:rsid w:val="6FF9E5FF"/>
    <w:rsid w:val="70455963"/>
    <w:rsid w:val="70900DB0"/>
    <w:rsid w:val="70E7254E"/>
    <w:rsid w:val="71917722"/>
    <w:rsid w:val="72117322"/>
    <w:rsid w:val="72544ACF"/>
    <w:rsid w:val="72B0307D"/>
    <w:rsid w:val="72F22421"/>
    <w:rsid w:val="739A1583"/>
    <w:rsid w:val="74484734"/>
    <w:rsid w:val="75B752C3"/>
    <w:rsid w:val="774B1F49"/>
    <w:rsid w:val="792539DA"/>
    <w:rsid w:val="79F53FD4"/>
    <w:rsid w:val="7BFF45C1"/>
    <w:rsid w:val="7C805C6D"/>
    <w:rsid w:val="7D2FBB1F"/>
    <w:rsid w:val="7D5102A0"/>
    <w:rsid w:val="7DBDFBB9"/>
    <w:rsid w:val="7DDF6455"/>
    <w:rsid w:val="7EF30447"/>
    <w:rsid w:val="7EF8DA6F"/>
    <w:rsid w:val="7F0C1F03"/>
    <w:rsid w:val="7FB82F36"/>
    <w:rsid w:val="8FBF9BA4"/>
    <w:rsid w:val="8FFF1028"/>
    <w:rsid w:val="A5E32F11"/>
    <w:rsid w:val="A63BF1EA"/>
    <w:rsid w:val="AAD7ED91"/>
    <w:rsid w:val="AED6BAC5"/>
    <w:rsid w:val="AF3EBA29"/>
    <w:rsid w:val="AFECB9DF"/>
    <w:rsid w:val="B3762F4B"/>
    <w:rsid w:val="BDB60DEF"/>
    <w:rsid w:val="BFA72DDF"/>
    <w:rsid w:val="BFFBDE30"/>
    <w:rsid w:val="C41EF5CC"/>
    <w:rsid w:val="CEFB5588"/>
    <w:rsid w:val="CFFF0359"/>
    <w:rsid w:val="D3DCCD96"/>
    <w:rsid w:val="D78E6FE9"/>
    <w:rsid w:val="DBFCEB08"/>
    <w:rsid w:val="DDFFD52F"/>
    <w:rsid w:val="E7BB36CC"/>
    <w:rsid w:val="E9FFA475"/>
    <w:rsid w:val="EDFB9619"/>
    <w:rsid w:val="EEFF4EBE"/>
    <w:rsid w:val="EF7F2150"/>
    <w:rsid w:val="EF9F4F95"/>
    <w:rsid w:val="F5FFA7F5"/>
    <w:rsid w:val="F7EBB332"/>
    <w:rsid w:val="F9FF3F84"/>
    <w:rsid w:val="FB6DB878"/>
    <w:rsid w:val="FBC7D98D"/>
    <w:rsid w:val="FD570DF0"/>
    <w:rsid w:val="FEBFD0D3"/>
    <w:rsid w:val="FEE8EDB3"/>
    <w:rsid w:val="FEFEA8E0"/>
    <w:rsid w:val="FF779D7D"/>
    <w:rsid w:val="FFBDA0DC"/>
    <w:rsid w:val="FFFF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2246</Words>
  <Characters>2295</Characters>
  <Lines>10</Lines>
  <Paragraphs>2</Paragraphs>
  <TotalTime>40</TotalTime>
  <ScaleCrop>false</ScaleCrop>
  <LinksUpToDate>false</LinksUpToDate>
  <CharactersWithSpaces>2297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2021-01-12T06:07:00Z</dcterms:created>
  <dc:creator>lenovo</dc:creator>
  <cp:lastModifiedBy>先做人，后做事</cp:lastModifiedBy>
  <cp:lastPrinted>2023-01-19T02:10:00Z</cp:lastPrinted>
  <dcterms:modified xsi:type="dcterms:W3CDTF">2023-01-19T06:50:35Z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D685BC5070BE42BB8CFB379FC0951A50</vt:lpwstr>
  </property>
</Properties>
</file>