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06AF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bookmarkEnd w:id="0"/>
      <w:r>
        <w:rPr>
          <w:rFonts w:hint="eastAsia" w:ascii="方正小标宋简体" w:hAnsi="方正小标宋简体" w:eastAsia="方正小标宋简体" w:cs="方正小标宋简体"/>
          <w:sz w:val="44"/>
          <w:szCs w:val="44"/>
          <w:highlight w:val="none"/>
          <w:lang w:val="en-US" w:eastAsia="zh-CN"/>
        </w:rPr>
        <w:t>铁西区2026年优化营商环境重点工作</w:t>
      </w:r>
    </w:p>
    <w:p w14:paraId="46D39DF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_GB2312" w:hAnsi="楷体_GB2312" w:eastAsia="楷体_GB2312" w:cs="楷体_GB2312"/>
          <w:sz w:val="32"/>
          <w:szCs w:val="32"/>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实施方案</w:t>
      </w:r>
    </w:p>
    <w:p w14:paraId="0FAF5572">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sz w:val="32"/>
          <w:szCs w:val="32"/>
          <w:highlight w:val="none"/>
          <w:lang w:val="en-US" w:eastAsia="zh-CN"/>
        </w:rPr>
      </w:pPr>
    </w:p>
    <w:p w14:paraId="21B38A6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是“十五五”开局之年，为深入贯彻落实中央、省、市关于优化营商环境的决策部署，紧扣“市场化、法治化、便利化”主线，聚焦企业“安心经营、高质量发展”需求，持续破解发展堵点难点，结合铁西区实际，制定铁西区2026年优化营商环境重点工作实施方案。</w:t>
      </w:r>
    </w:p>
    <w:p w14:paraId="3F01DE0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一、升级政务服务效能，提升利企便民水平</w:t>
      </w:r>
    </w:p>
    <w:p w14:paraId="3548936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（一）提升“一网通办”服务能力。</w:t>
      </w:r>
      <w:r>
        <w:rPr>
          <w:rFonts w:hint="eastAsia" w:ascii="仿宋_GB2312" w:hAnsi="仿宋_GB2312" w:eastAsia="仿宋_GB2312" w:cs="仿宋_GB2312"/>
          <w:sz w:val="32"/>
          <w:szCs w:val="32"/>
          <w:highlight w:val="none"/>
          <w:lang w:val="en-US" w:eastAsia="zh-CN"/>
        </w:rPr>
        <w:t>持续拓展政务服务事项全程网上办理范围，不断优化线上办理流程，推动全区政务服务事项“全程网办”占比稳定保持在90%以上，力争各项指标位居全市前列。积极构建“网上办事为主、自助办理为辅、实体窗口兜底”的多元化政务服务体系，推动全区政务服务网办发生率提升至55%以上，高频事项网办发生率达到65%以上。高效推进长春都市圈政务服务事项“跨区域通办”，不断提升异地办事便捷度。（责任单位：区政数局及各驻厅部门）</w:t>
      </w:r>
    </w:p>
    <w:p w14:paraId="6CF461A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（二）推动“高效办成一件事”落地见效。</w:t>
      </w:r>
      <w:r>
        <w:rPr>
          <w:rFonts w:hint="eastAsia" w:ascii="仿宋_GB2312" w:hAnsi="仿宋_GB2312" w:eastAsia="仿宋_GB2312" w:cs="仿宋_GB2312"/>
          <w:sz w:val="32"/>
          <w:szCs w:val="32"/>
          <w:highlight w:val="none"/>
          <w:lang w:val="en-US" w:eastAsia="zh-CN"/>
        </w:rPr>
        <w:t>严格对标国家级、省市级工作部署要求，持续巩固已落地“一件事”改革成效，不断优化办理流程、提升服务质量，推动改革成果落地见效。进一步拓宽“高效办成一件事”服务覆盖面，健全常态化推进机制，细化工作举措、强化责任落实，切实提升企业群众办事便捷度和满意度。（责任单位：区政数局及各驻厅部门）</w:t>
      </w:r>
    </w:p>
    <w:p w14:paraId="7BD01DB1">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highlight w:val="none"/>
          <w:lang w:val="en-US" w:eastAsia="zh-CN"/>
        </w:rPr>
      </w:pPr>
      <w:r>
        <w:rPr>
          <w:rFonts w:hint="eastAsia" w:ascii="楷体_GB2312" w:hAnsi="楷体_GB2312" w:eastAsia="楷体_GB2312" w:cs="楷体_GB2312"/>
          <w:sz w:val="32"/>
          <w:szCs w:val="32"/>
          <w:highlight w:val="none"/>
          <w:lang w:val="en-US" w:eastAsia="zh-CN"/>
        </w:rPr>
        <w:t>（三）优化权责清单动态更新机制。</w:t>
      </w:r>
      <w:r>
        <w:rPr>
          <w:rFonts w:hint="eastAsia" w:ascii="仿宋_GB2312" w:hAnsi="仿宋_GB2312" w:eastAsia="仿宋_GB2312" w:cs="仿宋_GB2312"/>
          <w:sz w:val="32"/>
          <w:szCs w:val="32"/>
          <w:highlight w:val="none"/>
          <w:lang w:val="en-US" w:eastAsia="zh-CN"/>
        </w:rPr>
        <w:t>严格对标法律法规“立改废释”最新要求，紧跟上级行政权力取消、下放、调整部署，结合各部门“三定”规定，依法依规、精准有序开展权责清单动态调整工作。进一步明确行政权力边界，理顺权责关系，确保权责清单与部门职责高度契合、权责一致，推动行政权力规范、高效、有序运转，切实提升政务服务规范化水平。（责任单位：区政数局）</w:t>
      </w:r>
    </w:p>
    <w:p w14:paraId="6A47C36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（四）提质增效推进“接诉即办”工作。</w:t>
      </w:r>
      <w:r>
        <w:rPr>
          <w:rFonts w:hint="eastAsia" w:ascii="仿宋_GB2312" w:hAnsi="仿宋_GB2312" w:eastAsia="仿宋_GB2312" w:cs="仿宋_GB2312"/>
          <w:sz w:val="32"/>
          <w:szCs w:val="32"/>
          <w:highlight w:val="none"/>
          <w:lang w:val="en-US" w:eastAsia="zh-CN"/>
        </w:rPr>
        <w:t>以12345热线、网上诉求受理平台为核心抓手，严格落实诉求签收及时、办理按时、反馈到位的工作要求，精准回应企业群众合理诉求，持续提升政务服务响应效能，推动政务服务质量与群众满意度同步提升、双向向好。（责任单位：区政府办）</w:t>
      </w:r>
    </w:p>
    <w:p w14:paraId="5E34BFE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（五）持续优化线下政务服务体验。</w:t>
      </w:r>
      <w:r>
        <w:rPr>
          <w:rFonts w:hint="eastAsia" w:ascii="仿宋_GB2312" w:hAnsi="仿宋_GB2312" w:eastAsia="仿宋_GB2312" w:cs="仿宋_GB2312"/>
          <w:sz w:val="32"/>
          <w:szCs w:val="32"/>
          <w:highlight w:val="none"/>
          <w:lang w:val="en-US" w:eastAsia="zh-CN"/>
        </w:rPr>
        <w:t>深入推行极简、极便、极优、极速“四极”服务模式，着力提升无差别全科受理水平，确保区本级无差别全科受理比例达到80%以上，持续深化“减材料”改革，切实减轻企业群众办事负担。积极推行上门服务、下班延时服务、非工作日预约服务等便民利民举措，破解群众办事“时间差”难题。严格落实“首问（办）负责制”，设立“办不成事”反映窗口，精准解决群众办事堵点难点问题，常态化推进“好差评”制度落地见效，以评价倒逼服务质量提升。（责任单位：区政数局及各驻厅部门）</w:t>
      </w:r>
    </w:p>
    <w:p w14:paraId="3FE801A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highlight w:val="none"/>
          <w:lang w:val="en-US" w:eastAsia="zh-CN"/>
        </w:rPr>
      </w:pPr>
      <w:r>
        <w:rPr>
          <w:rFonts w:hint="eastAsia" w:ascii="楷体_GB2312" w:hAnsi="楷体_GB2312" w:eastAsia="楷体_GB2312" w:cs="楷体_GB2312"/>
          <w:sz w:val="32"/>
          <w:szCs w:val="32"/>
          <w:highlight w:val="none"/>
          <w:lang w:val="en-US" w:eastAsia="zh-CN"/>
        </w:rPr>
        <w:t>（六）积极配合市企业综合服务中心高效运行。</w:t>
      </w:r>
      <w:r>
        <w:rPr>
          <w:rFonts w:hint="eastAsia" w:ascii="仿宋_GB2312" w:hAnsi="仿宋_GB2312" w:eastAsia="仿宋_GB2312" w:cs="仿宋_GB2312"/>
          <w:sz w:val="32"/>
          <w:szCs w:val="32"/>
          <w:highlight w:val="none"/>
          <w:lang w:val="en-US" w:eastAsia="zh-CN"/>
        </w:rPr>
        <w:t>严格落实市级工作部署，主动配合市政数局开展企业综合服务中心运行相关工作，紧扣“协调解决企业全生命周期合法诉求”职责要求，协同做好企业诉求办理承接、流转、反馈等工作，全力配合打造企业诉求办理“总入口、总协调、总出口”。立足辖区实际，配合做好超越传统行政审批范畴的服务保障，主动对接企业发展各类资源需求，切实凝聚服务企业发展工作合力。（责任单位：区政数局）</w:t>
      </w:r>
    </w:p>
    <w:p w14:paraId="0C1879A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（七）强化惠企政策精准直达。</w:t>
      </w:r>
      <w:r>
        <w:rPr>
          <w:rFonts w:hint="eastAsia" w:ascii="仿宋_GB2312" w:hAnsi="仿宋_GB2312" w:eastAsia="仿宋_GB2312" w:cs="仿宋_GB2312"/>
          <w:sz w:val="32"/>
          <w:szCs w:val="32"/>
          <w:highlight w:val="none"/>
          <w:lang w:val="en-US" w:eastAsia="zh-CN"/>
        </w:rPr>
        <w:t>依托区政府门户网站建立政策供给专题，全面归集、及时更新各类涉企扶持政策，主动面向市场主体开展精准推送、定向告知，推动由“企业主动找政策”向“政策精准找企业”转变，确保各项惠企举措直达快享。积极推广惠企政策“免申即享”“即申即享”模式，简化兑现流程、降低申报门槛，切实提升政策兑现效率与企业获得感。（责任单位：区政数局及各政策供给部门）</w:t>
      </w:r>
    </w:p>
    <w:p w14:paraId="6537DD4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（八）配合做好工程建设审批制度改革。</w:t>
      </w:r>
      <w:r>
        <w:rPr>
          <w:rFonts w:hint="eastAsia" w:ascii="仿宋_GB2312" w:hAnsi="仿宋_GB2312" w:eastAsia="仿宋_GB2312" w:cs="仿宋_GB2312"/>
          <w:sz w:val="32"/>
          <w:szCs w:val="32"/>
          <w:highlight w:val="none"/>
          <w:lang w:val="en-US" w:eastAsia="zh-CN"/>
        </w:rPr>
        <w:t>严格落实市级关于工程建设项目审批制度改革工作部署，积极配合市政数局、市自然资源局等部门，扎实推进《四平市社会投资工业类建设项目“百日攻坚”实施方案》落地实施，对标社会投资工业类项目开工时限要求，高效做好辖区内项目备案工作，确保改革任务按期完成。（责任单位：区发改局、区政数局）</w:t>
      </w:r>
    </w:p>
    <w:p w14:paraId="4C3E42B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二、持续优化市场环境，激发经营主体活力</w:t>
      </w:r>
    </w:p>
    <w:p w14:paraId="493FC58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（九）扎实推进企业账款清欠工作。</w:t>
      </w:r>
      <w:r>
        <w:rPr>
          <w:rFonts w:hint="eastAsia" w:ascii="仿宋_GB2312" w:hAnsi="仿宋_GB2312" w:eastAsia="仿宋_GB2312" w:cs="仿宋_GB2312"/>
          <w:sz w:val="32"/>
          <w:szCs w:val="32"/>
          <w:highlight w:val="none"/>
          <w:lang w:val="en-US" w:eastAsia="zh-CN"/>
        </w:rPr>
        <w:t>常态化推进拖欠民营企业、中小企业账款清理整治工作，针对权属清晰、无争议的应付款项，积极拓宽资金筹措渠道，加快清偿兑付进度，做到应清尽清、应付快付；对存在争议、存在纠纷的账款，坚持依法依规、多方协商，及时化解矛盾分歧。2026年，确保完成“630”台账欠款清偿任务，清偿比例不低于50%。（责任单位：区工信局、区财政局）</w:t>
      </w:r>
    </w:p>
    <w:p w14:paraId="5E566F3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（十）提升商事纠纷化解质效。</w:t>
      </w:r>
      <w:r>
        <w:rPr>
          <w:rFonts w:hint="eastAsia" w:ascii="仿宋_GB2312" w:hAnsi="仿宋_GB2312" w:eastAsia="仿宋_GB2312" w:cs="仿宋_GB2312"/>
          <w:sz w:val="32"/>
          <w:szCs w:val="32"/>
          <w:highlight w:val="none"/>
          <w:lang w:val="en-US" w:eastAsia="zh-CN"/>
        </w:rPr>
        <w:t>聚焦审判主责主业，强化一审案件办理质效，着力推动案结事了，切实降低案件上诉比例。持续优化诉讼服务流程，精简办理环节，缩短商事纠纷审理周期。不断强化被执行人财产查控工作，严格执行财产保全告知机制，积极引导当事人依法及时申请财产保全，推动被执行人主动履行法定义务，全面提升案件实际执行成效。（责任单位：区法院）</w:t>
      </w:r>
    </w:p>
    <w:p w14:paraId="17E9EB3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（十一）强化招投标和政府采购监管。</w:t>
      </w:r>
      <w:r>
        <w:rPr>
          <w:rFonts w:hint="eastAsia" w:ascii="仿宋_GB2312" w:hAnsi="仿宋_GB2312" w:eastAsia="仿宋_GB2312" w:cs="仿宋_GB2312"/>
          <w:sz w:val="32"/>
          <w:szCs w:val="32"/>
          <w:highlight w:val="none"/>
          <w:lang w:val="en-US" w:eastAsia="zh-CN"/>
        </w:rPr>
        <w:t>严格依照法律法规及相关政策规定，全面加强招投标与政府采购全流程监督管理，切实维护公平公正的市场竞争秩序。立足助力中小企业健康发展，持续提升采购工作公开度与运行效能，全面实现政府采购项目电子化交易与采购意向公开。积极推广远程异地评标、“双盲”评审模式，推动招标（采购）文件提前公示，落实保证金差异化减免政策，大力推广电子保函替代现金保证金，不断优化招投标和政府采购领域营商环境。（责任单位：区财政局、区政数局）</w:t>
      </w:r>
    </w:p>
    <w:p w14:paraId="6408A02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lang w:val="en-US" w:eastAsia="zh-CN"/>
        </w:rPr>
      </w:pPr>
      <w:r>
        <w:rPr>
          <w:rFonts w:hint="eastAsia" w:ascii="黑体" w:hAnsi="黑体" w:eastAsia="黑体" w:cs="黑体"/>
          <w:sz w:val="32"/>
          <w:szCs w:val="32"/>
          <w:highlight w:val="none"/>
          <w:lang w:val="en-US" w:eastAsia="zh-CN"/>
        </w:rPr>
        <w:t>三、强化要素保障供给，增强发展支撑能力</w:t>
      </w:r>
    </w:p>
    <w:p w14:paraId="00A08E9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（十二）积极落实《英城英才新政十条》。</w:t>
      </w:r>
      <w:r>
        <w:rPr>
          <w:rFonts w:hint="eastAsia" w:ascii="仿宋_GB2312" w:hAnsi="仿宋_GB2312" w:eastAsia="仿宋_GB2312" w:cs="仿宋_GB2312"/>
          <w:sz w:val="32"/>
          <w:szCs w:val="32"/>
          <w:highlight w:val="none"/>
          <w:lang w:val="en-US" w:eastAsia="zh-CN"/>
        </w:rPr>
        <w:t>严格按照政策要求及时足额兑现人才相关待遇，切实保障人才合法权益。打破专业技术职称评审与技能人才评价壁垒，支持民营企业高技能人才申报“双贯通”职称评审。加大新业态从业人员劳动权益保障力度，依法严厉查处侵害劳动者合法权益的违法违规行为。（责任单位：区人社局）</w:t>
      </w:r>
    </w:p>
    <w:p w14:paraId="2991ABC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（十三）强化仲裁质效监督管理。</w:t>
      </w:r>
      <w:r>
        <w:rPr>
          <w:rFonts w:hint="eastAsia" w:ascii="仿宋_GB2312" w:hAnsi="仿宋_GB2312" w:eastAsia="仿宋_GB2312" w:cs="仿宋_GB2312"/>
          <w:sz w:val="32"/>
          <w:szCs w:val="32"/>
          <w:highlight w:val="none"/>
          <w:lang w:val="en-US" w:eastAsia="zh-CN"/>
        </w:rPr>
        <w:t>建立健全仲裁工作常态化调度、分析研判机制，定期对仲裁各项指标完成情况开展数据梳理、深度分析，精准掌握工作推进态势、找准薄弱环节，靶向优化工作举措。2026年，全力推动仲裁工作提质增效，力争实现全年调解成功率不低于70%、仲裁结案率达到95%以上，切实提升仲裁服务公信力和群众满意度。（责任单位：区人社局）</w:t>
      </w:r>
    </w:p>
    <w:p w14:paraId="4CA7DD8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（十四）强化惠企财税政策落实。</w:t>
      </w:r>
      <w:r>
        <w:rPr>
          <w:rFonts w:hint="eastAsia" w:ascii="仿宋_GB2312" w:hAnsi="仿宋_GB2312" w:eastAsia="仿宋_GB2312" w:cs="仿宋_GB2312"/>
          <w:sz w:val="32"/>
          <w:szCs w:val="32"/>
          <w:highlight w:val="none"/>
          <w:lang w:val="en-US" w:eastAsia="zh-CN"/>
        </w:rPr>
        <w:t>精准落实增值税小规模纳税人相关税收减免政策，持续执行“六税两费”减免优惠，严格落细小型微利企业所得税优惠政策，切实减轻市场主体经营负担，助力企业平稳健康发展。落实企业吸纳就业社会保险补贴线上申请工作。（责任单位：区税务局、区人社局）</w:t>
      </w:r>
    </w:p>
    <w:p w14:paraId="752B124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（十五）深化银税互动机制。</w:t>
      </w:r>
      <w:r>
        <w:rPr>
          <w:rFonts w:hint="eastAsia" w:ascii="仿宋_GB2312" w:hAnsi="仿宋_GB2312" w:eastAsia="仿宋_GB2312" w:cs="仿宋_GB2312"/>
          <w:sz w:val="32"/>
          <w:szCs w:val="32"/>
          <w:highlight w:val="none"/>
          <w:lang w:val="en-US" w:eastAsia="zh-CN"/>
        </w:rPr>
        <w:t>打造“银税桥”服务模式，加强与工商联、金融监管部门、商业银行的沟通与联系，实现银税商企精准对接，降低融资成本，帮助中小企业解决融资贷款问题。拓展“税易贷”“银税贷”等信用贷款产品。（责任单位：区税务局、区工商联、区财政局）</w:t>
      </w:r>
    </w:p>
    <w:p w14:paraId="7AEFECD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（十六）进一步提升纳税服务效能。</w:t>
      </w:r>
      <w:r>
        <w:rPr>
          <w:rFonts w:hint="eastAsia" w:ascii="仿宋_GB2312" w:hAnsi="仿宋_GB2312" w:eastAsia="仿宋_GB2312" w:cs="仿宋_GB2312"/>
          <w:sz w:val="32"/>
          <w:szCs w:val="32"/>
          <w:highlight w:val="none"/>
          <w:lang w:val="en-US" w:eastAsia="zh-CN"/>
        </w:rPr>
        <w:t>构建完善纳税服务数字化监测体系，对网上申报达标率开展动态监测、精准预警，及时发现并解决申报过程中的堵点问题。聚焦办税缴费便利化提升，大力推广“网上办”“掌上办”等线上服务模式，减少企业群众办事跑动次数。持续深化发票电子化改革，扩大电子发票使用达标率覆盖范围，积极引导纳税人全面推广应用数电票，全力实现办税缴费“零跑动”、业务办理“零积压”，持续提升纳税服务质量和纳税人满意度。（责任单位：区税务局）</w:t>
      </w:r>
    </w:p>
    <w:p w14:paraId="516B24F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（十七）强化招商引资全流程服务保障。</w:t>
      </w:r>
      <w:r>
        <w:rPr>
          <w:rFonts w:hint="eastAsia" w:ascii="仿宋_GB2312" w:hAnsi="仿宋_GB2312" w:eastAsia="仿宋_GB2312" w:cs="仿宋_GB2312"/>
          <w:sz w:val="32"/>
          <w:szCs w:val="32"/>
          <w:highlight w:val="none"/>
          <w:lang w:val="en-US" w:eastAsia="zh-CN"/>
        </w:rPr>
        <w:t>构建项目谋划、信息收集、研判审批、协议签约、落地建设、竣工验收、投产运营全链条服务体系，健全招商引资工作统筹协调与分级推进机制。规范项目分类管理与研判流程，落实“一把手”牵头抓总、部门协同联动、专人全程代办制度，强化用地、资金、能耗等要素保障。优化项目审批服务与难题协调机制，严格实行“一项目一档案”管理，推动招商项目快落地、快建设、快投产、快达效，全面提升招商引资质量与服务效能。（责任单位：区商务局）</w:t>
      </w:r>
    </w:p>
    <w:p w14:paraId="007C559E">
      <w:pPr>
        <w:pStyle w:val="2"/>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highlight w:val="none"/>
          <w:lang w:val="en-US" w:eastAsia="zh-CN"/>
        </w:rPr>
      </w:pPr>
      <w:r>
        <w:rPr>
          <w:rFonts w:hint="eastAsia" w:ascii="楷体_GB2312" w:hAnsi="楷体_GB2312" w:eastAsia="楷体_GB2312" w:cs="楷体_GB2312"/>
          <w:sz w:val="32"/>
          <w:szCs w:val="32"/>
          <w:highlight w:val="none"/>
          <w:lang w:val="en-US" w:eastAsia="zh-CN"/>
        </w:rPr>
        <w:t>（十八）落实重点项目领导包保帮扶机制。</w:t>
      </w:r>
      <w:r>
        <w:rPr>
          <w:rFonts w:hint="eastAsia" w:ascii="仿宋_GB2312" w:hAnsi="仿宋_GB2312" w:eastAsia="仿宋_GB2312" w:cs="仿宋_GB2312"/>
          <w:sz w:val="32"/>
          <w:szCs w:val="32"/>
          <w:highlight w:val="none"/>
          <w:lang w:val="en-US" w:eastAsia="zh-CN"/>
        </w:rPr>
        <w:t>建立区级领导牵头包保、专班统筹推进、部门协同落实、属地全程服务的工作体系，对重点项目实行“一名包保领导、一个工作专班、一套推进方案、一张倒排工期表”全周期帮扶。包保领导牵头统筹项目谋划、手续办理、要素保障、难题协调等工作，定期走访调度、现场办公，及时解决项目建设中的堵点难点问题。各责任单位与属地乡街各司其职、密切配合，强化立项审批、用地保障、资金筹措、施工许可、征拆协调等全流程服务，推动项目早开工、快建设、早投产、早达效。（责任单位：区发改局）</w:t>
      </w:r>
    </w:p>
    <w:p w14:paraId="1C4D302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四、推进信用体系建设，打造诚信营商氛围</w:t>
      </w:r>
    </w:p>
    <w:p w14:paraId="430267D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（十九）强化政府诚信建设落实。</w:t>
      </w:r>
      <w:r>
        <w:rPr>
          <w:rFonts w:hint="eastAsia" w:ascii="仿宋_GB2312" w:hAnsi="仿宋_GB2312" w:eastAsia="仿宋_GB2312" w:cs="仿宋_GB2312"/>
          <w:sz w:val="32"/>
          <w:szCs w:val="32"/>
          <w:highlight w:val="none"/>
          <w:lang w:val="en-US" w:eastAsia="zh-CN"/>
        </w:rPr>
        <w:t>认真贯彻落实市级工作部署，积极配合市政数局健全政府诚信履约机制，严格执行政务失信惩戒相关要求，做好政府及其部门在公共资源交易、招商引资、产业扶持等领域失信行为的信用记录、信息报送及惩戒落实工作，依规限制失信主体申请财政资金、项目申报、试点示范及评先评优等资格，切实维护政府公信力。（责任单位：区政数局）</w:t>
      </w:r>
    </w:p>
    <w:p w14:paraId="439F58A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（二十）深化经营主体信用提升工作。</w:t>
      </w:r>
      <w:r>
        <w:rPr>
          <w:rFonts w:hint="eastAsia" w:ascii="仿宋_GB2312" w:hAnsi="仿宋_GB2312" w:eastAsia="仿宋_GB2312" w:cs="仿宋_GB2312"/>
          <w:sz w:val="32"/>
          <w:szCs w:val="32"/>
          <w:highlight w:val="none"/>
        </w:rPr>
        <w:t>持续深化信用修复便利化改革，严格执行“双书同达”工作机制，优化信用修复流程与规则，加</w:t>
      </w:r>
      <w:r>
        <w:rPr>
          <w:rFonts w:hint="eastAsia" w:ascii="仿宋_GB2312" w:hAnsi="仿宋_GB2312" w:eastAsia="仿宋_GB2312" w:cs="仿宋_GB2312"/>
          <w:sz w:val="32"/>
          <w:szCs w:val="32"/>
          <w:highlight w:val="none"/>
          <w:lang w:eastAsia="zh-CN"/>
        </w:rPr>
        <w:t>强与</w:t>
      </w:r>
      <w:r>
        <w:rPr>
          <w:rFonts w:hint="eastAsia" w:ascii="仿宋_GB2312" w:hAnsi="仿宋_GB2312" w:eastAsia="仿宋_GB2312" w:cs="仿宋_GB2312"/>
          <w:sz w:val="32"/>
          <w:szCs w:val="32"/>
          <w:highlight w:val="none"/>
        </w:rPr>
        <w:t>司法机关、行业主管部门、信用服务机构协同联动，提升信用修复效率与质量。聚焦“屡禁不止、屡罚不绝”突出失信问题，开展专项整治，着力规范经营主体信用行为，营造诚信有序的市场环境。</w:t>
      </w:r>
      <w:r>
        <w:rPr>
          <w:rFonts w:hint="eastAsia" w:ascii="仿宋_GB2312" w:hAnsi="仿宋_GB2312" w:eastAsia="仿宋_GB2312" w:cs="仿宋_GB2312"/>
          <w:sz w:val="32"/>
          <w:szCs w:val="32"/>
          <w:highlight w:val="none"/>
          <w:lang w:val="en-US" w:eastAsia="zh-CN"/>
        </w:rPr>
        <w:t>（责任单位：区政数局、区税务局）</w:t>
      </w:r>
    </w:p>
    <w:p w14:paraId="6318216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五、规范涉企执法行为，维护公平市场秩序</w:t>
      </w:r>
    </w:p>
    <w:p w14:paraId="1E5FD4C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（二十一）深入贯彻落实《吉林省优化营商环境条例》。</w:t>
      </w:r>
      <w:r>
        <w:rPr>
          <w:rFonts w:hint="eastAsia" w:ascii="仿宋_GB2312" w:hAnsi="仿宋_GB2312" w:eastAsia="仿宋_GB2312" w:cs="仿宋_GB2312"/>
          <w:sz w:val="32"/>
          <w:szCs w:val="32"/>
          <w:highlight w:val="none"/>
          <w:lang w:val="en-US" w:eastAsia="zh-CN"/>
        </w:rPr>
        <w:t>聚焦条例核心条款和关键要求，结合工作实际细化配套落实举措，明确具体工作任务、责任分工和完成时限，确保条例各项规定落地落细、见行见效。健全完善营商环境工作统筹推进机制，明确牵头负责、协同推动、汇总上报等各环节职责，强化统筹协调、联动发力，切实以条例贯彻落实推动营商环境持续优化升级。（责任单位：区政数局）</w:t>
      </w:r>
    </w:p>
    <w:p w14:paraId="201A6C6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（二十二）推进监管模式优化转变。</w:t>
      </w:r>
      <w:r>
        <w:rPr>
          <w:rFonts w:hint="eastAsia" w:ascii="仿宋_GB2312" w:hAnsi="仿宋_GB2312" w:eastAsia="仿宋_GB2312" w:cs="仿宋_GB2312"/>
          <w:sz w:val="32"/>
          <w:szCs w:val="32"/>
          <w:highlight w:val="none"/>
        </w:rPr>
        <w:t>严格落实“双随机、一公开”跨部门联合监管要求，持续扩大“综合查一次”覆盖范围，优化联合检查流程，力争跨部门联合检查占比达到60%以上，切实减轻企业迎检负担，构建高效协同的监管格局。</w:t>
      </w:r>
      <w:r>
        <w:rPr>
          <w:rFonts w:hint="eastAsia" w:ascii="仿宋_GB2312" w:hAnsi="仿宋_GB2312" w:eastAsia="仿宋_GB2312" w:cs="仿宋_GB2312"/>
          <w:sz w:val="32"/>
          <w:szCs w:val="32"/>
          <w:highlight w:val="none"/>
          <w:lang w:val="en-US" w:eastAsia="zh-CN"/>
        </w:rPr>
        <w:t>（责任单位：区司法局及各行政执法部门）</w:t>
      </w:r>
    </w:p>
    <w:p w14:paraId="3DA37E9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（二十三）严格执行“企业宁静日”制度。</w:t>
      </w:r>
      <w:r>
        <w:rPr>
          <w:rFonts w:hint="eastAsia" w:ascii="仿宋_GB2312" w:hAnsi="仿宋_GB2312" w:eastAsia="仿宋_GB2312" w:cs="仿宋_GB2312"/>
          <w:sz w:val="32"/>
          <w:szCs w:val="32"/>
          <w:highlight w:val="none"/>
          <w:lang w:val="en-US" w:eastAsia="zh-CN"/>
        </w:rPr>
        <w:t>每月10日—30日，原则上不得入企开展行政执法检查，切实保障企业正常生产经营秩序。因投诉举报、数据监测、转办交办等确需入企检查的，或应企业申请必须开展检查的，须事先向营商环境监督部门履行报备手续，确保检查行为规范、审批流程严谨，切实减少对企业的干扰，营造安心、舒心的市场环境。（责任单位：区政数局及各行政执法部门）</w:t>
      </w:r>
    </w:p>
    <w:p w14:paraId="62885BD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（二十四）严格规范涉企行政检查。</w:t>
      </w:r>
      <w:r>
        <w:rPr>
          <w:rFonts w:hint="eastAsia" w:ascii="仿宋_GB2312" w:hAnsi="仿宋_GB2312" w:eastAsia="仿宋_GB2312" w:cs="仿宋_GB2312"/>
          <w:sz w:val="32"/>
          <w:szCs w:val="32"/>
          <w:highlight w:val="none"/>
          <w:lang w:val="en-US" w:eastAsia="zh-CN"/>
        </w:rPr>
        <w:t>持续推进行政检查智能备案管理；</w:t>
      </w:r>
      <w:r>
        <w:rPr>
          <w:rFonts w:hint="eastAsia" w:ascii="仿宋_GB2312" w:hAnsi="仿宋_GB2312" w:eastAsia="仿宋_GB2312" w:cs="仿宋_GB2312"/>
          <w:sz w:val="32"/>
          <w:szCs w:val="32"/>
          <w:highlight w:val="none"/>
          <w:lang w:eastAsia="zh-CN"/>
        </w:rPr>
        <w:t>全面</w:t>
      </w:r>
      <w:r>
        <w:rPr>
          <w:rFonts w:hint="eastAsia" w:ascii="仿宋_GB2312" w:hAnsi="仿宋_GB2312" w:eastAsia="仿宋_GB2312" w:cs="仿宋_GB2312"/>
          <w:sz w:val="32"/>
          <w:szCs w:val="32"/>
          <w:highlight w:val="none"/>
          <w:lang w:val="en-US" w:eastAsia="zh-CN"/>
        </w:rPr>
        <w:t>落实行政执法全过程监督，依托“四平市行政执法全过程监督</w:t>
      </w:r>
      <w:r>
        <w:rPr>
          <w:rFonts w:hint="eastAsia" w:ascii="仿宋_GB2312" w:hAnsi="仿宋_GB2312" w:eastAsia="仿宋_GB2312" w:cs="仿宋_GB2312"/>
          <w:sz w:val="32"/>
          <w:szCs w:val="32"/>
          <w:highlight w:val="none"/>
        </w:rPr>
        <w:t>平台</w:t>
      </w:r>
      <w:r>
        <w:rPr>
          <w:rFonts w:hint="eastAsia" w:ascii="仿宋_GB2312" w:hAnsi="仿宋_GB2312" w:eastAsia="仿宋_GB2312" w:cs="仿宋_GB2312"/>
          <w:sz w:val="32"/>
          <w:szCs w:val="32"/>
          <w:highlight w:val="none"/>
          <w:lang w:eastAsia="zh-CN"/>
        </w:rPr>
        <w:t>”，实现行政执法全过程留痕和可回溯管理，</w:t>
      </w:r>
      <w:r>
        <w:rPr>
          <w:rFonts w:hint="eastAsia" w:ascii="仿宋_GB2312" w:hAnsi="仿宋_GB2312" w:eastAsia="仿宋_GB2312" w:cs="仿宋_GB2312"/>
          <w:sz w:val="32"/>
          <w:szCs w:val="32"/>
          <w:highlight w:val="none"/>
        </w:rPr>
        <w:t>确保行政执法规范有序。</w:t>
      </w:r>
      <w:r>
        <w:rPr>
          <w:rFonts w:hint="eastAsia" w:ascii="仿宋_GB2312" w:hAnsi="仿宋_GB2312" w:eastAsia="仿宋_GB2312" w:cs="仿宋_GB2312"/>
          <w:sz w:val="32"/>
          <w:szCs w:val="32"/>
          <w:highlight w:val="none"/>
          <w:lang w:val="en-US" w:eastAsia="zh-CN"/>
        </w:rPr>
        <w:t>（责任单位：区司法局、区政数局及各行政执法部门）</w:t>
      </w:r>
    </w:p>
    <w:p w14:paraId="3E8AE7E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六、健全督导落实机制，强化营商环境保障</w:t>
      </w:r>
    </w:p>
    <w:p w14:paraId="3279355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（二十五）规范营商环境线索移交管理。</w:t>
      </w:r>
      <w:r>
        <w:rPr>
          <w:rFonts w:hint="eastAsia" w:ascii="仿宋_GB2312" w:hAnsi="仿宋_GB2312" w:eastAsia="仿宋_GB2312" w:cs="仿宋_GB2312"/>
          <w:sz w:val="32"/>
          <w:szCs w:val="32"/>
          <w:highlight w:val="none"/>
          <w:lang w:val="en-US" w:eastAsia="zh-CN"/>
        </w:rPr>
        <w:t>针对吉林省营商环境智能管理平台转办的各类营商环境问题线索，以及市、区营商环境办自行受理的损害营商环境投诉举报、主动排查发现的破坏营商环境相关问题，对经研判后涉嫌相关单位及国家公职人员存在违纪违法等行为的，严格按照程序及时移交纪检监察机关处理，确保线索处置闭环、追责问责到位，切实筑牢营商环境监督防线。（责任单位：区政数局、区纪委监委）</w:t>
      </w:r>
    </w:p>
    <w:p w14:paraId="605BA01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（二十六）推进“一把手”公开承诺。</w:t>
      </w:r>
      <w:r>
        <w:rPr>
          <w:rFonts w:hint="eastAsia" w:ascii="仿宋_GB2312" w:hAnsi="仿宋_GB2312" w:eastAsia="仿宋_GB2312" w:cs="仿宋_GB2312"/>
          <w:sz w:val="32"/>
          <w:szCs w:val="32"/>
          <w:highlight w:val="none"/>
          <w:lang w:val="en-US" w:eastAsia="zh-CN"/>
        </w:rPr>
        <w:t>组织各职能部门主要负责同志，通过政府官方网站等权威渠道，围绕优化营商环境、精准落实惠企政策、提升政务服务质效等重点工作，作出公开承诺、明确责任举措，主动接受社会各界和企业群众监督，以公开促落实、以监督促提升，切实彰显优化营商环境的决心和力度。（责任单位：区政数局及各行政审批部门、行政执法部门）</w:t>
      </w:r>
    </w:p>
    <w:p w14:paraId="1CD9D56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（二十七）强化营商环境常态化专项检查。</w:t>
      </w:r>
      <w:r>
        <w:rPr>
          <w:rFonts w:hint="eastAsia" w:ascii="仿宋_GB2312" w:hAnsi="仿宋_GB2312" w:eastAsia="仿宋_GB2312" w:cs="仿宋_GB2312"/>
          <w:sz w:val="32"/>
          <w:szCs w:val="32"/>
          <w:highlight w:val="none"/>
          <w:lang w:val="en-US" w:eastAsia="zh-CN"/>
        </w:rPr>
        <w:t>坚持常态化开展营商环境专项检查，紧盯重点任务落地、企业诉求办理、突出问题整改等关键环节，采取“四不两直”、明察暗访等方式精准开展检查。对检查发现的问题实行清单化管理、项目化推进、销号式整改，压紧压实整改责任，以严督实查倒逼各项工作提质增效。（责任单位：区政数局）</w:t>
      </w:r>
    </w:p>
    <w:p w14:paraId="421B9E2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（二十八）完善政企常态化沟通机制。</w:t>
      </w:r>
      <w:r>
        <w:rPr>
          <w:rFonts w:hint="eastAsia" w:ascii="仿宋_GB2312" w:hAnsi="仿宋_GB2312" w:eastAsia="仿宋_GB2312" w:cs="仿宋_GB2312"/>
          <w:sz w:val="32"/>
          <w:szCs w:val="32"/>
          <w:highlight w:val="none"/>
          <w:lang w:val="en-US" w:eastAsia="zh-CN"/>
        </w:rPr>
        <w:t>丰富政企沟通载体，优化“政企早餐会”“企业家接待日”“企业家座谈会”等沟通形式，提升沟通实效，重点强化与各行业企业的机制化对接，定期开展座谈交流，精准收集行业发展堵点痛点及企业合理诉求。充分发挥营商环境监督员、监测点的桥梁纽带作用，拓宽诉求收集渠道、提升问题反馈效率，着力构建“政府—协会—企业”多层次、立体化、全覆盖的政企互动网络，切实打通政企沟通“最后一公里”。（责任单位：区工信局、区政数局、区工商联）</w:t>
      </w:r>
    </w:p>
    <w:p w14:paraId="7B88709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val="en-US" w:eastAsia="zh-CN"/>
        </w:rPr>
        <w:t>（二十九）健全营商环境问卷反馈体系。</w:t>
      </w:r>
      <w:r>
        <w:rPr>
          <w:rFonts w:hint="eastAsia" w:ascii="仿宋_GB2312" w:hAnsi="仿宋_GB2312" w:eastAsia="仿宋_GB2312" w:cs="仿宋_GB2312"/>
          <w:sz w:val="32"/>
          <w:szCs w:val="32"/>
          <w:highlight w:val="none"/>
          <w:lang w:eastAsia="zh-CN"/>
        </w:rPr>
        <w:t>坚持常态化开展营商环境网络问卷调查，不断优化问卷设计，聚焦企业群众关切，增强问卷的针对性、科学性和实用性，确保全面、真实收集经营主体意见建议。建立健全“诉求征集—问题梳理—任务交办—结果反馈—跟踪监督”全流程闭环管理机制，明确各环节责任分工、办理时限，压实工作责任，确保经营主体反映的各类诉求得到及时响应、高效办理、有效解决，切实提升企业群众获得感和满意度。</w:t>
      </w:r>
      <w:r>
        <w:rPr>
          <w:rFonts w:hint="eastAsia" w:ascii="仿宋_GB2312" w:hAnsi="仿宋_GB2312" w:eastAsia="仿宋_GB2312" w:cs="仿宋_GB2312"/>
          <w:sz w:val="32"/>
          <w:szCs w:val="32"/>
          <w:highlight w:val="none"/>
          <w:lang w:val="en-US" w:eastAsia="zh-CN"/>
        </w:rPr>
        <w:t>（责任单位：区政数局）</w:t>
      </w:r>
    </w:p>
    <w:p w14:paraId="45FCF16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highlight w:val="none"/>
          <w:lang w:val="en-US" w:eastAsia="zh-CN"/>
        </w:rPr>
      </w:pPr>
      <w:r>
        <w:rPr>
          <w:rFonts w:hint="eastAsia" w:ascii="楷体_GB2312" w:hAnsi="楷体_GB2312" w:eastAsia="楷体_GB2312" w:cs="楷体_GB2312"/>
          <w:sz w:val="32"/>
          <w:szCs w:val="32"/>
          <w:highlight w:val="none"/>
          <w:lang w:val="en-US" w:eastAsia="zh-CN"/>
        </w:rPr>
        <w:t>（三十）坚持营商环境投诉举报案件动态清零。</w:t>
      </w:r>
      <w:r>
        <w:rPr>
          <w:rFonts w:hint="eastAsia" w:ascii="仿宋_GB2312" w:hAnsi="仿宋_GB2312" w:eastAsia="仿宋_GB2312" w:cs="仿宋_GB2312"/>
          <w:sz w:val="32"/>
          <w:szCs w:val="32"/>
          <w:highlight w:val="none"/>
          <w:lang w:val="en-US" w:eastAsia="zh-CN"/>
        </w:rPr>
        <w:t>严格执行投诉举报闭环管理工作机制，规范受理、高效处置、按期办结吉林省营商环境智能管理平台转办的各类投诉举报案件，坚决杜绝超期办理、拖延处置等问题，确保所有案件全程可追溯、件件有回音、事事有着落，切实维护企业和群众合法权益。（责任单位：区政数局）</w:t>
      </w:r>
    </w:p>
    <w:p w14:paraId="20E9DC1E">
      <w:pPr>
        <w:rPr>
          <w:rFonts w:hint="default"/>
          <w:lang w:val="en-US" w:eastAsia="zh-CN"/>
        </w:rPr>
      </w:pPr>
    </w:p>
    <w:p w14:paraId="5934419E">
      <w:pPr>
        <w:pStyle w:val="2"/>
        <w:rPr>
          <w:rFonts w:hint="default"/>
          <w:lang w:val="en-US" w:eastAsia="zh-CN"/>
        </w:rPr>
      </w:pPr>
    </w:p>
    <w:p w14:paraId="569C5088">
      <w:pPr>
        <w:pStyle w:val="3"/>
        <w:rPr>
          <w:rFonts w:hint="default"/>
          <w:lang w:val="en-US" w:eastAsia="zh-CN"/>
        </w:rPr>
      </w:pPr>
    </w:p>
    <w:p w14:paraId="682E6032">
      <w:pPr>
        <w:pStyle w:val="4"/>
        <w:rPr>
          <w:rFonts w:hint="default"/>
          <w:lang w:val="en-US" w:eastAsia="zh-CN"/>
        </w:rPr>
      </w:pPr>
    </w:p>
    <w:p w14:paraId="57F10EB7">
      <w:pPr>
        <w:pStyle w:val="4"/>
        <w:rPr>
          <w:rFonts w:hint="default"/>
          <w:lang w:val="en-US" w:eastAsia="zh-CN"/>
        </w:rPr>
      </w:pPr>
    </w:p>
    <w:p w14:paraId="7F7627D7">
      <w:pPr>
        <w:pStyle w:val="4"/>
        <w:rPr>
          <w:rFonts w:hint="default"/>
          <w:lang w:val="en-US" w:eastAsia="zh-CN"/>
        </w:rPr>
      </w:pPr>
    </w:p>
    <w:p w14:paraId="083467AE">
      <w:pPr>
        <w:pStyle w:val="4"/>
        <w:rPr>
          <w:rFonts w:hint="default"/>
          <w:lang w:val="en-US" w:eastAsia="zh-CN"/>
        </w:rPr>
      </w:pPr>
    </w:p>
    <w:p w14:paraId="5BD34BD1">
      <w:pPr>
        <w:pStyle w:val="4"/>
        <w:rPr>
          <w:rFonts w:hint="default"/>
          <w:lang w:val="en-US" w:eastAsia="zh-CN"/>
        </w:rPr>
      </w:pPr>
    </w:p>
    <w:p w14:paraId="3B40E0BF">
      <w:pPr>
        <w:pStyle w:val="4"/>
        <w:rPr>
          <w:rFonts w:hint="default"/>
          <w:lang w:val="en-US" w:eastAsia="zh-CN"/>
        </w:rPr>
      </w:pPr>
    </w:p>
    <w:p w14:paraId="2B026917">
      <w:pPr>
        <w:pStyle w:val="4"/>
        <w:rPr>
          <w:rFonts w:hint="default"/>
          <w:lang w:val="en-US" w:eastAsia="zh-CN"/>
        </w:rPr>
      </w:pPr>
    </w:p>
    <w:p w14:paraId="00EDF12F">
      <w:pPr>
        <w:pStyle w:val="4"/>
        <w:rPr>
          <w:rFonts w:hint="default"/>
          <w:lang w:val="en-US" w:eastAsia="zh-CN"/>
        </w:rPr>
      </w:pPr>
    </w:p>
    <w:p w14:paraId="11529B87">
      <w:pPr>
        <w:pStyle w:val="4"/>
        <w:rPr>
          <w:rFonts w:hint="default"/>
          <w:lang w:val="en-US" w:eastAsia="zh-CN"/>
        </w:rPr>
      </w:pPr>
    </w:p>
    <w:p w14:paraId="35D9FA6A">
      <w:pPr>
        <w:pStyle w:val="4"/>
        <w:rPr>
          <w:rFonts w:hint="default"/>
          <w:lang w:val="en-US" w:eastAsia="zh-CN"/>
        </w:rPr>
      </w:pPr>
    </w:p>
    <w:p w14:paraId="28DE39EC">
      <w:pPr>
        <w:pStyle w:val="4"/>
        <w:rPr>
          <w:rFonts w:hint="default"/>
          <w:lang w:val="en-US" w:eastAsia="zh-CN"/>
        </w:rPr>
      </w:pPr>
    </w:p>
    <w:p w14:paraId="153EDC84">
      <w:pPr>
        <w:pStyle w:val="4"/>
        <w:rPr>
          <w:rFonts w:hint="default"/>
          <w:lang w:val="en-US" w:eastAsia="zh-CN"/>
        </w:rPr>
      </w:pPr>
    </w:p>
    <w:tbl>
      <w:tblPr>
        <w:tblStyle w:val="14"/>
        <w:tblpPr w:leftFromText="180" w:rightFromText="180" w:vertAnchor="text" w:horzAnchor="page" w:tblpX="1572" w:tblpY="829"/>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0"/>
      </w:tblGrid>
      <w:tr w14:paraId="4A511BB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820" w:type="dxa"/>
            <w:tcBorders>
              <w:top w:val="single" w:color="auto" w:sz="8" w:space="0"/>
            </w:tcBorders>
            <w:noWrap w:val="0"/>
            <w:vAlign w:val="center"/>
          </w:tcPr>
          <w:p w14:paraId="075D2FE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jc w:val="both"/>
              <w:textAlignment w:val="auto"/>
              <w:outlineLvl w:val="9"/>
              <w:rPr>
                <w:rFonts w:hint="eastAsia" w:ascii="仿宋" w:hAnsi="仿宋" w:eastAsia="仿宋" w:cs="仿宋"/>
                <w:sz w:val="28"/>
                <w:szCs w:val="28"/>
              </w:rPr>
            </w:pPr>
            <w:r>
              <w:rPr>
                <w:rFonts w:hint="eastAsia" w:ascii="仿宋" w:hAnsi="仿宋" w:eastAsia="仿宋" w:cs="仿宋"/>
                <w:color w:val="000000"/>
                <w:sz w:val="28"/>
                <w:szCs w:val="28"/>
              </w:rPr>
              <w:t xml:space="preserve"> </w:t>
            </w:r>
            <w:r>
              <w:rPr>
                <w:rFonts w:hint="default" w:ascii="仿宋" w:hAnsi="仿宋" w:eastAsia="仿宋" w:cs="仿宋"/>
                <w:color w:val="000000"/>
                <w:sz w:val="28"/>
                <w:szCs w:val="28"/>
              </w:rPr>
              <w:t xml:space="preserve"> </w:t>
            </w:r>
            <w:r>
              <w:rPr>
                <w:rFonts w:hint="eastAsia" w:ascii="仿宋" w:hAnsi="仿宋" w:eastAsia="仿宋" w:cs="仿宋"/>
                <w:color w:val="000000"/>
                <w:sz w:val="28"/>
                <w:szCs w:val="28"/>
              </w:rPr>
              <w:t>四平市铁西区人民政府办公室</w:t>
            </w:r>
            <w:r>
              <w:rPr>
                <w:rFonts w:hint="default" w:ascii="仿宋" w:hAnsi="仿宋" w:eastAsia="仿宋" w:cs="仿宋"/>
                <w:color w:val="000000"/>
                <w:sz w:val="28"/>
                <w:szCs w:val="28"/>
              </w:rPr>
              <w:t>人秘科</w:t>
            </w:r>
            <w:r>
              <w:rPr>
                <w:rFonts w:hint="eastAsia" w:ascii="仿宋" w:hAnsi="仿宋" w:eastAsia="仿宋" w:cs="仿宋"/>
                <w:color w:val="000000"/>
                <w:sz w:val="28"/>
                <w:szCs w:val="28"/>
              </w:rPr>
              <w:t xml:space="preserve">   </w:t>
            </w:r>
            <w:r>
              <w:rPr>
                <w:rFonts w:hint="default" w:ascii="仿宋" w:hAnsi="仿宋" w:eastAsia="仿宋" w:cs="仿宋"/>
                <w:color w:val="000000"/>
                <w:sz w:val="28"/>
                <w:szCs w:val="28"/>
              </w:rPr>
              <w:t xml:space="preserve"> </w:t>
            </w:r>
            <w:r>
              <w:rPr>
                <w:rFonts w:hint="eastAsia" w:ascii="仿宋" w:hAnsi="仿宋" w:eastAsia="仿宋" w:cs="仿宋"/>
                <w:color w:val="000000"/>
                <w:sz w:val="28"/>
                <w:szCs w:val="28"/>
              </w:rPr>
              <w:t xml:space="preserve">  20</w:t>
            </w:r>
            <w:r>
              <w:rPr>
                <w:rFonts w:hint="eastAsia" w:ascii="仿宋" w:hAnsi="仿宋" w:eastAsia="仿宋" w:cs="仿宋"/>
                <w:color w:val="000000"/>
                <w:sz w:val="28"/>
                <w:szCs w:val="28"/>
                <w:lang w:val="en-US" w:eastAsia="zh-CN"/>
              </w:rPr>
              <w:t>2</w:t>
            </w:r>
            <w:r>
              <w:rPr>
                <w:rFonts w:hint="default" w:ascii="仿宋" w:hAnsi="仿宋" w:eastAsia="仿宋" w:cs="仿宋"/>
                <w:color w:val="000000"/>
                <w:sz w:val="28"/>
                <w:szCs w:val="28"/>
                <w:lang w:eastAsia="zh-CN"/>
              </w:rPr>
              <w:t>6</w:t>
            </w:r>
            <w:r>
              <w:rPr>
                <w:rFonts w:hint="eastAsia" w:ascii="仿宋" w:hAnsi="仿宋" w:eastAsia="仿宋" w:cs="仿宋"/>
                <w:color w:val="000000"/>
                <w:sz w:val="28"/>
                <w:szCs w:val="28"/>
              </w:rPr>
              <w:t>年</w:t>
            </w:r>
            <w:r>
              <w:rPr>
                <w:rFonts w:hint="default" w:ascii="仿宋" w:hAnsi="仿宋" w:eastAsia="仿宋" w:cs="仿宋"/>
                <w:color w:val="000000"/>
                <w:sz w:val="28"/>
                <w:szCs w:val="28"/>
              </w:rPr>
              <w:t>4</w:t>
            </w:r>
            <w:r>
              <w:rPr>
                <w:rFonts w:hint="eastAsia" w:ascii="仿宋" w:hAnsi="仿宋" w:eastAsia="仿宋" w:cs="仿宋"/>
                <w:color w:val="000000"/>
                <w:sz w:val="28"/>
                <w:szCs w:val="28"/>
              </w:rPr>
              <w:t>月</w:t>
            </w:r>
            <w:r>
              <w:rPr>
                <w:rFonts w:hint="default" w:ascii="仿宋" w:hAnsi="仿宋" w:eastAsia="仿宋" w:cs="仿宋"/>
                <w:color w:val="000000"/>
                <w:sz w:val="28"/>
                <w:szCs w:val="28"/>
              </w:rPr>
              <w:t>30</w:t>
            </w:r>
            <w:r>
              <w:rPr>
                <w:rFonts w:hint="eastAsia" w:ascii="仿宋" w:hAnsi="仿宋" w:eastAsia="仿宋" w:cs="仿宋"/>
                <w:color w:val="000000"/>
                <w:sz w:val="28"/>
                <w:szCs w:val="28"/>
              </w:rPr>
              <w:t>日印发</w:t>
            </w:r>
          </w:p>
        </w:tc>
      </w:tr>
    </w:tbl>
    <w:p w14:paraId="111FE453">
      <w:pPr>
        <w:pStyle w:val="4"/>
        <w:rPr>
          <w:rFonts w:hint="default"/>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587" w:right="1587" w:bottom="1193"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86"/>
    <w:family w:val="auto"/>
    <w:pitch w:val="default"/>
    <w:sig w:usb0="A10006FF" w:usb1="4000205B" w:usb2="00000010" w:usb3="00000000" w:csb0="2000019F" w:csb1="00000000"/>
  </w:font>
  <w:font w:name="文星仿宋">
    <w:altName w:val="仿宋"/>
    <w:panose1 w:val="02010604000101010101"/>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C4DF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F1A9D">
                          <w:pPr>
                            <w:pStyle w:val="8"/>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6F1A9D">
                    <w:pPr>
                      <w:pStyle w:val="8"/>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35A7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FD3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A552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ACC79">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80440">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DBjZGM1ZDhmM2Q2ZDIwMGM3ODY4NjNjYzYyZmQifQ=="/>
  </w:docVars>
  <w:rsids>
    <w:rsidRoot w:val="00000000"/>
    <w:rsid w:val="07633DF5"/>
    <w:rsid w:val="17FED369"/>
    <w:rsid w:val="1C9FD774"/>
    <w:rsid w:val="1DFFBA0F"/>
    <w:rsid w:val="1F7EE547"/>
    <w:rsid w:val="26FFD666"/>
    <w:rsid w:val="276F0C4A"/>
    <w:rsid w:val="27F66CAC"/>
    <w:rsid w:val="2DDF0E35"/>
    <w:rsid w:val="2ECD2FCA"/>
    <w:rsid w:val="2FBEE918"/>
    <w:rsid w:val="337F8656"/>
    <w:rsid w:val="35BE542A"/>
    <w:rsid w:val="36F5EBFD"/>
    <w:rsid w:val="37CDB716"/>
    <w:rsid w:val="3ABF0465"/>
    <w:rsid w:val="3BDF3739"/>
    <w:rsid w:val="3D7EB7B3"/>
    <w:rsid w:val="3DD90374"/>
    <w:rsid w:val="3EE76C47"/>
    <w:rsid w:val="3FF8CB5F"/>
    <w:rsid w:val="3FFBDFA1"/>
    <w:rsid w:val="4B75C7E5"/>
    <w:rsid w:val="4CFFDE89"/>
    <w:rsid w:val="4FBD65AC"/>
    <w:rsid w:val="53FFDED7"/>
    <w:rsid w:val="540521EF"/>
    <w:rsid w:val="54BD5B6E"/>
    <w:rsid w:val="557258CC"/>
    <w:rsid w:val="56EF9134"/>
    <w:rsid w:val="56FD7CEF"/>
    <w:rsid w:val="599144C7"/>
    <w:rsid w:val="59DF28FA"/>
    <w:rsid w:val="5DF544B5"/>
    <w:rsid w:val="5DFF7730"/>
    <w:rsid w:val="5E3F82FE"/>
    <w:rsid w:val="5E7DD69C"/>
    <w:rsid w:val="5F17A101"/>
    <w:rsid w:val="5FE00EC0"/>
    <w:rsid w:val="5FEF9A26"/>
    <w:rsid w:val="5FFF6E2B"/>
    <w:rsid w:val="67FF3B8D"/>
    <w:rsid w:val="69DDD737"/>
    <w:rsid w:val="6BBE6977"/>
    <w:rsid w:val="6BDFAB9F"/>
    <w:rsid w:val="6BFA3B87"/>
    <w:rsid w:val="6CFAA9D3"/>
    <w:rsid w:val="6DDFA052"/>
    <w:rsid w:val="6E67A81E"/>
    <w:rsid w:val="6F3E6CFC"/>
    <w:rsid w:val="6F782F3C"/>
    <w:rsid w:val="6FE6C33F"/>
    <w:rsid w:val="6FFCE609"/>
    <w:rsid w:val="6FFD72B7"/>
    <w:rsid w:val="6FFE8EEA"/>
    <w:rsid w:val="71D7D0F1"/>
    <w:rsid w:val="73DEB259"/>
    <w:rsid w:val="75BE582C"/>
    <w:rsid w:val="76AFA8B7"/>
    <w:rsid w:val="76DF9F66"/>
    <w:rsid w:val="76E9635D"/>
    <w:rsid w:val="777FB7F7"/>
    <w:rsid w:val="77F75EEC"/>
    <w:rsid w:val="78F53D8C"/>
    <w:rsid w:val="7A7F6A79"/>
    <w:rsid w:val="7A87CC1C"/>
    <w:rsid w:val="7A910AD2"/>
    <w:rsid w:val="7A935F55"/>
    <w:rsid w:val="7B2AE63C"/>
    <w:rsid w:val="7BDF8F11"/>
    <w:rsid w:val="7D0E09AD"/>
    <w:rsid w:val="7DDB569D"/>
    <w:rsid w:val="7DFF096A"/>
    <w:rsid w:val="7DFF6754"/>
    <w:rsid w:val="7E7A4ABB"/>
    <w:rsid w:val="7EE7A70F"/>
    <w:rsid w:val="7EE93B71"/>
    <w:rsid w:val="7EEDC4F9"/>
    <w:rsid w:val="7EEE0673"/>
    <w:rsid w:val="7F200B9A"/>
    <w:rsid w:val="7F2E9A86"/>
    <w:rsid w:val="7F541156"/>
    <w:rsid w:val="7F6F3D3C"/>
    <w:rsid w:val="7F7BEF10"/>
    <w:rsid w:val="7F7EF84B"/>
    <w:rsid w:val="7F7F1B2F"/>
    <w:rsid w:val="7F7F7AF9"/>
    <w:rsid w:val="7F9FB85B"/>
    <w:rsid w:val="7FBE6D69"/>
    <w:rsid w:val="7FBFBF47"/>
    <w:rsid w:val="7FBFC495"/>
    <w:rsid w:val="7FDB9DC3"/>
    <w:rsid w:val="7FF59447"/>
    <w:rsid w:val="7FFBFA7D"/>
    <w:rsid w:val="7FFD3FFE"/>
    <w:rsid w:val="7FFF9818"/>
    <w:rsid w:val="87FB780B"/>
    <w:rsid w:val="988F6264"/>
    <w:rsid w:val="9D6732A7"/>
    <w:rsid w:val="9EF92AFE"/>
    <w:rsid w:val="ABEB1329"/>
    <w:rsid w:val="B25ED67B"/>
    <w:rsid w:val="B3FFE4DB"/>
    <w:rsid w:val="B637B9B6"/>
    <w:rsid w:val="B6A36089"/>
    <w:rsid w:val="B78E56F4"/>
    <w:rsid w:val="B7B56966"/>
    <w:rsid w:val="B7FC7A93"/>
    <w:rsid w:val="BBFF728F"/>
    <w:rsid w:val="BDFFF8A5"/>
    <w:rsid w:val="BF6D5B8B"/>
    <w:rsid w:val="BF6FBF4F"/>
    <w:rsid w:val="CB9A5022"/>
    <w:rsid w:val="CF7E61DA"/>
    <w:rsid w:val="CFEEB0BE"/>
    <w:rsid w:val="CFFBF85C"/>
    <w:rsid w:val="CFFF6C10"/>
    <w:rsid w:val="D3FE839C"/>
    <w:rsid w:val="D53AA042"/>
    <w:rsid w:val="D6D7EE00"/>
    <w:rsid w:val="D75E74AA"/>
    <w:rsid w:val="D9DED913"/>
    <w:rsid w:val="DCEF4BE6"/>
    <w:rsid w:val="DD7D6622"/>
    <w:rsid w:val="DDDF30F8"/>
    <w:rsid w:val="DDFB0DEE"/>
    <w:rsid w:val="DE768984"/>
    <w:rsid w:val="DE795089"/>
    <w:rsid w:val="DEF7610A"/>
    <w:rsid w:val="DFCDFA4A"/>
    <w:rsid w:val="DFD98D92"/>
    <w:rsid w:val="DFFF664F"/>
    <w:rsid w:val="E127F27D"/>
    <w:rsid w:val="E37FE233"/>
    <w:rsid w:val="E6F3AA51"/>
    <w:rsid w:val="E7B444F7"/>
    <w:rsid w:val="EAFE8B54"/>
    <w:rsid w:val="ECEC0EE3"/>
    <w:rsid w:val="ECF957F7"/>
    <w:rsid w:val="EEFF21B4"/>
    <w:rsid w:val="EFD3E24A"/>
    <w:rsid w:val="EFDD088D"/>
    <w:rsid w:val="F0D74338"/>
    <w:rsid w:val="F38F0F84"/>
    <w:rsid w:val="F3F99D6C"/>
    <w:rsid w:val="F45DDE4F"/>
    <w:rsid w:val="F77FEED4"/>
    <w:rsid w:val="F7DF54F6"/>
    <w:rsid w:val="F7FDE985"/>
    <w:rsid w:val="F9BFDE86"/>
    <w:rsid w:val="FA6F1DC8"/>
    <w:rsid w:val="FBD558A6"/>
    <w:rsid w:val="FBDE9DCA"/>
    <w:rsid w:val="FBFD3E98"/>
    <w:rsid w:val="FBFD4065"/>
    <w:rsid w:val="FCF34FC2"/>
    <w:rsid w:val="FD3F5086"/>
    <w:rsid w:val="FD7FEF05"/>
    <w:rsid w:val="FDFFA4DF"/>
    <w:rsid w:val="FDFFB507"/>
    <w:rsid w:val="FE3525D8"/>
    <w:rsid w:val="FE37F244"/>
    <w:rsid w:val="FEEF8918"/>
    <w:rsid w:val="FEFF4790"/>
    <w:rsid w:val="FF3F59C4"/>
    <w:rsid w:val="FF3F6C47"/>
    <w:rsid w:val="FF5E703F"/>
    <w:rsid w:val="FF83C4BC"/>
    <w:rsid w:val="FF8EBF9E"/>
    <w:rsid w:val="FFBF5198"/>
    <w:rsid w:val="FFDEA7D2"/>
    <w:rsid w:val="FFEFDC01"/>
    <w:rsid w:val="FFF628A4"/>
    <w:rsid w:val="FFFBCCBF"/>
    <w:rsid w:val="FFFBF079"/>
    <w:rsid w:val="FFFF3B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semiHidden/>
    <w:unhideWhenUsed/>
    <w:qFormat/>
    <w:uiPriority w:val="99"/>
    <w:pPr>
      <w:ind w:firstLine="567" w:firstLineChars="189"/>
    </w:pPr>
    <w:rPr>
      <w:rFonts w:eastAsia="仿宋_GB2312"/>
      <w:sz w:val="32"/>
    </w:rPr>
  </w:style>
  <w:style w:type="paragraph" w:styleId="3">
    <w:name w:val="Normal Indent"/>
    <w:basedOn w:val="1"/>
    <w:next w:val="4"/>
    <w:unhideWhenUsed/>
    <w:qFormat/>
    <w:uiPriority w:val="0"/>
    <w:pPr>
      <w:ind w:firstLine="420" w:firstLineChars="200"/>
    </w:pPr>
  </w:style>
  <w:style w:type="paragraph" w:styleId="4">
    <w:name w:val="Body Text"/>
    <w:basedOn w:val="1"/>
    <w:qFormat/>
    <w:uiPriority w:val="0"/>
    <w:pPr>
      <w:spacing w:before="0" w:after="140" w:line="276" w:lineRule="auto"/>
    </w:pPr>
  </w:style>
  <w:style w:type="paragraph" w:styleId="5">
    <w:name w:val="Date"/>
    <w:basedOn w:val="1"/>
    <w:next w:val="1"/>
    <w:link w:val="34"/>
    <w:qFormat/>
    <w:uiPriority w:val="0"/>
    <w:pPr>
      <w:ind w:left="100" w:leftChars="2500"/>
    </w:pPr>
  </w:style>
  <w:style w:type="paragraph" w:styleId="6">
    <w:name w:val="Body Text Indent 2"/>
    <w:basedOn w:val="1"/>
    <w:unhideWhenUsed/>
    <w:qFormat/>
    <w:uiPriority w:val="99"/>
    <w:pPr>
      <w:spacing w:after="120" w:line="480" w:lineRule="auto"/>
      <w:ind w:left="200" w:leftChars="200"/>
    </w:pPr>
  </w:style>
  <w:style w:type="paragraph" w:styleId="7">
    <w:name w:val="Balloon Text"/>
    <w:basedOn w:val="1"/>
    <w:link w:val="35"/>
    <w:qFormat/>
    <w:uiPriority w:val="0"/>
    <w:rPr>
      <w:sz w:val="18"/>
      <w:szCs w:val="18"/>
    </w:rPr>
  </w:style>
  <w:style w:type="paragraph" w:styleId="8">
    <w:name w:val="footer"/>
    <w:basedOn w:val="1"/>
    <w:link w:val="37"/>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toc 2"/>
    <w:basedOn w:val="1"/>
    <w:next w:val="1"/>
    <w:unhideWhenUsed/>
    <w:qFormat/>
    <w:uiPriority w:val="99"/>
    <w:pPr>
      <w:ind w:left="200" w:leftChars="200"/>
    </w:pPr>
    <w:rPr>
      <w:rFonts w:ascii="Calibri" w:hAnsi="Calibri"/>
      <w:smallCaps/>
      <w:szCs w:val="24"/>
    </w:rPr>
  </w:style>
  <w:style w:type="paragraph" w:styleId="11">
    <w:name w:val="Normal (Web)"/>
    <w:basedOn w:val="1"/>
    <w:qFormat/>
    <w:uiPriority w:val="0"/>
    <w:pPr>
      <w:jc w:val="left"/>
    </w:pPr>
    <w:rPr>
      <w:rFonts w:cs="Times New Roman"/>
      <w:kern w:val="0"/>
      <w:sz w:val="24"/>
    </w:rPr>
  </w:style>
  <w:style w:type="paragraph" w:styleId="12">
    <w:name w:val="Title"/>
    <w:basedOn w:val="1"/>
    <w:link w:val="32"/>
    <w:qFormat/>
    <w:uiPriority w:val="0"/>
    <w:pPr>
      <w:spacing w:before="240" w:after="60"/>
      <w:jc w:val="center"/>
      <w:outlineLvl w:val="0"/>
    </w:pPr>
    <w:rPr>
      <w:rFonts w:ascii="Arial" w:hAnsi="Arial" w:eastAsia="宋体"/>
      <w:b/>
      <w:bCs/>
      <w:sz w:val="32"/>
      <w:szCs w:val="32"/>
    </w:rPr>
  </w:style>
  <w:style w:type="paragraph" w:styleId="13">
    <w:name w:val="Body Text First Indent 2"/>
    <w:basedOn w:val="2"/>
    <w:next w:val="1"/>
    <w:qFormat/>
    <w:uiPriority w:val="0"/>
    <w:pPr>
      <w:widowControl w:val="0"/>
      <w:adjustRightInd/>
      <w:snapToGrid/>
      <w:spacing w:after="0"/>
      <w:ind w:left="0" w:leftChars="0" w:firstLine="960"/>
      <w:jc w:val="both"/>
    </w:pPr>
    <w:rPr>
      <w:rFonts w:ascii="Times New Roman" w:hAnsi="Times New Roman" w:eastAsia="宋体" w:cs="Times New Roman"/>
      <w:kern w:val="2"/>
      <w:sz w:val="32"/>
      <w:szCs w:val="24"/>
    </w:r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0">
    <w:name w:val="等级级别"/>
    <w:link w:val="36"/>
    <w:qFormat/>
    <w:uiPriority w:val="0"/>
    <w:pPr>
      <w:spacing w:line="579" w:lineRule="exact"/>
    </w:pPr>
    <w:rPr>
      <w:rFonts w:ascii="黑体" w:hAnsi="Calibri" w:eastAsia="黑体" w:cs="黑体"/>
      <w:spacing w:val="8"/>
      <w:kern w:val="2"/>
      <w:position w:val="4"/>
      <w:sz w:val="30"/>
      <w:szCs w:val="30"/>
      <w:lang w:val="en-US" w:eastAsia="zh-CN" w:bidi="ar-SA"/>
    </w:rPr>
  </w:style>
  <w:style w:type="paragraph" w:customStyle="1" w:styleId="21">
    <w:name w:val="主送机关"/>
    <w:next w:val="1"/>
    <w:qFormat/>
    <w:uiPriority w:val="0"/>
    <w:pPr>
      <w:topLinePunct/>
      <w:spacing w:line="579" w:lineRule="exact"/>
    </w:pPr>
    <w:rPr>
      <w:rFonts w:ascii="仿宋_GB2312" w:hAnsi="文星仿宋" w:eastAsia="仿宋_GB2312" w:cs="Times New Roman"/>
      <w:spacing w:val="8"/>
      <w:kern w:val="2"/>
      <w:position w:val="4"/>
      <w:sz w:val="32"/>
      <w:szCs w:val="32"/>
      <w:lang w:val="en-US" w:eastAsia="zh-CN" w:bidi="ar-SA"/>
    </w:rPr>
  </w:style>
  <w:style w:type="paragraph" w:customStyle="1" w:styleId="22">
    <w:name w:val="发文字号"/>
    <w:qFormat/>
    <w:uiPriority w:val="0"/>
    <w:pPr>
      <w:spacing w:line="579" w:lineRule="exact"/>
      <w:jc w:val="center"/>
    </w:pPr>
    <w:rPr>
      <w:rFonts w:ascii="仿宋_GB2312" w:hAnsi="Times New Roman" w:eastAsia="仿宋_GB2312" w:cs="Times New Roman"/>
      <w:spacing w:val="8"/>
      <w:kern w:val="2"/>
      <w:position w:val="4"/>
      <w:sz w:val="32"/>
      <w:szCs w:val="32"/>
      <w:lang w:val="en-US" w:eastAsia="zh-CN" w:bidi="ar-SA"/>
    </w:rPr>
  </w:style>
  <w:style w:type="paragraph" w:customStyle="1" w:styleId="23">
    <w:name w:val="公文标题"/>
    <w:qFormat/>
    <w:uiPriority w:val="0"/>
    <w:pPr>
      <w:spacing w:line="660" w:lineRule="exact"/>
      <w:jc w:val="center"/>
    </w:pPr>
    <w:rPr>
      <w:rFonts w:ascii="Times New Roman" w:hAnsi="Times New Roman" w:eastAsia="方正小标宋_GBK" w:cs="Times New Roman"/>
      <w:spacing w:val="-8"/>
      <w:kern w:val="2"/>
      <w:sz w:val="44"/>
      <w:szCs w:val="44"/>
      <w:lang w:val="en-US" w:eastAsia="zh-CN" w:bidi="ar-SA"/>
    </w:rPr>
  </w:style>
  <w:style w:type="paragraph" w:customStyle="1" w:styleId="24">
    <w:name w:val="说明文字"/>
    <w:qFormat/>
    <w:uiPriority w:val="0"/>
    <w:pPr>
      <w:spacing w:line="300" w:lineRule="exact"/>
    </w:pPr>
    <w:rPr>
      <w:rFonts w:ascii="仿宋_GB2312" w:hAnsi="Times New Roman" w:eastAsia="仿宋_GB2312" w:cs="Times New Roman"/>
      <w:vanish/>
      <w:color w:val="0000FF"/>
      <w:kern w:val="2"/>
      <w:sz w:val="24"/>
      <w:szCs w:val="24"/>
      <w:lang w:val="en-US" w:eastAsia="zh-CN" w:bidi="ar-SA"/>
    </w:rPr>
  </w:style>
  <w:style w:type="paragraph" w:customStyle="1" w:styleId="25">
    <w:name w:val="等级"/>
    <w:qFormat/>
    <w:uiPriority w:val="0"/>
    <w:pPr>
      <w:spacing w:line="579" w:lineRule="exact"/>
      <w:jc w:val="both"/>
    </w:pPr>
    <w:rPr>
      <w:rFonts w:ascii="仿宋_GB2312" w:hAnsi="Times New Roman" w:eastAsia="仿宋_GB2312" w:cs="Times New Roman"/>
      <w:spacing w:val="8"/>
      <w:kern w:val="2"/>
      <w:position w:val="4"/>
      <w:sz w:val="32"/>
      <w:szCs w:val="32"/>
      <w:lang w:val="en-US" w:eastAsia="zh-CN" w:bidi="ar-SA"/>
    </w:rPr>
  </w:style>
  <w:style w:type="paragraph" w:customStyle="1" w:styleId="26">
    <w:name w:val="List Paragraph"/>
    <w:basedOn w:val="1"/>
    <w:unhideWhenUsed/>
    <w:qFormat/>
    <w:uiPriority w:val="99"/>
    <w:pPr>
      <w:ind w:firstLine="420" w:firstLineChars="200"/>
    </w:pPr>
  </w:style>
  <w:style w:type="paragraph" w:customStyle="1" w:styleId="2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纯文本1"/>
    <w:basedOn w:val="27"/>
    <w:qFormat/>
    <w:uiPriority w:val="0"/>
    <w:rPr>
      <w:rFonts w:ascii="宋体" w:hAnsi="Courier New" w:cs="Courier New"/>
      <w:szCs w:val="21"/>
    </w:rPr>
  </w:style>
  <w:style w:type="paragraph" w:customStyle="1" w:styleId="31">
    <w:name w:val="p0"/>
    <w:basedOn w:val="1"/>
    <w:qFormat/>
    <w:uiPriority w:val="0"/>
    <w:pPr>
      <w:widowControl/>
    </w:pPr>
    <w:rPr>
      <w:kern w:val="0"/>
      <w:szCs w:val="21"/>
    </w:rPr>
  </w:style>
  <w:style w:type="character" w:customStyle="1" w:styleId="32">
    <w:name w:val="标题 Char Char"/>
    <w:link w:val="12"/>
    <w:qFormat/>
    <w:uiPriority w:val="0"/>
    <w:rPr>
      <w:rFonts w:ascii="Arial" w:hAnsi="Arial" w:eastAsia="宋体"/>
      <w:b/>
      <w:bCs/>
      <w:kern w:val="2"/>
      <w:sz w:val="32"/>
      <w:szCs w:val="32"/>
    </w:rPr>
  </w:style>
  <w:style w:type="character" w:customStyle="1" w:styleId="33">
    <w:name w:val="标题 Char1"/>
    <w:basedOn w:val="15"/>
    <w:qFormat/>
    <w:uiPriority w:val="0"/>
    <w:rPr>
      <w:rFonts w:ascii="Calibri Light" w:hAnsi="Calibri Light" w:eastAsia="宋体" w:cs="黑体"/>
      <w:b/>
      <w:bCs/>
      <w:kern w:val="2"/>
      <w:sz w:val="32"/>
      <w:szCs w:val="32"/>
    </w:rPr>
  </w:style>
  <w:style w:type="character" w:customStyle="1" w:styleId="34">
    <w:name w:val="日期 Char Char"/>
    <w:basedOn w:val="15"/>
    <w:link w:val="5"/>
    <w:qFormat/>
    <w:uiPriority w:val="0"/>
    <w:rPr>
      <w:kern w:val="2"/>
      <w:sz w:val="21"/>
      <w:szCs w:val="24"/>
    </w:rPr>
  </w:style>
  <w:style w:type="character" w:customStyle="1" w:styleId="35">
    <w:name w:val="批注框文本 Char Char"/>
    <w:basedOn w:val="15"/>
    <w:link w:val="7"/>
    <w:qFormat/>
    <w:uiPriority w:val="0"/>
    <w:rPr>
      <w:kern w:val="2"/>
      <w:sz w:val="18"/>
      <w:szCs w:val="18"/>
    </w:rPr>
  </w:style>
  <w:style w:type="character" w:customStyle="1" w:styleId="36">
    <w:name w:val="等级级别 Char Char"/>
    <w:basedOn w:val="15"/>
    <w:link w:val="20"/>
    <w:qFormat/>
    <w:uiPriority w:val="0"/>
    <w:rPr>
      <w:rFonts w:ascii="黑体" w:eastAsia="黑体"/>
      <w:spacing w:val="8"/>
      <w:kern w:val="2"/>
      <w:position w:val="4"/>
      <w:sz w:val="30"/>
      <w:szCs w:val="30"/>
    </w:rPr>
  </w:style>
  <w:style w:type="character" w:customStyle="1" w:styleId="37">
    <w:name w:val="页脚 Char Char"/>
    <w:basedOn w:val="15"/>
    <w:link w:val="8"/>
    <w:qFormat/>
    <w:uiPriority w:val="99"/>
    <w:rPr>
      <w:rFonts w:ascii="Calibri" w:hAnsi="Calibri" w:eastAsia="宋体" w:cs="黑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5657</Words>
  <Characters>5713</Characters>
  <Lines>12</Lines>
  <Paragraphs>3</Paragraphs>
  <TotalTime>2</TotalTime>
  <ScaleCrop>false</ScaleCrop>
  <LinksUpToDate>false</LinksUpToDate>
  <CharactersWithSpaces>5785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2017-06-13T11:02:00Z</dcterms:created>
  <dc:creator>Administrator</dc:creator>
  <cp:lastModifiedBy>红红的雨</cp:lastModifiedBy>
  <cp:lastPrinted>2026-05-09T17:26:00Z</cp:lastPrinted>
  <dcterms:modified xsi:type="dcterms:W3CDTF">2026-05-09T03:30:18Z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07428562FD4C43D49A39E3B088532238_13</vt:lpwstr>
  </property>
  <property fmtid="{D5CDD505-2E9C-101B-9397-08002B2CF9AE}" pid="4" name="KSOTemplateDocerSaveRecord">
    <vt:lpwstr>eyJoZGlkIjoiNmQ2MjMwNzJhNGM1MzMzNDdhZDAwYTk2OThhYTQ5ZjgiLCJ1c2VySWQiOiI0OTE2Mzc2MTIifQ==</vt:lpwstr>
  </property>
</Properties>
</file>