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四平市铁西区人民政府</w:t>
      </w: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2023年政府信息公开工作年度报告</w:t>
      </w:r>
    </w:p>
    <w:p>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中华人民共和国政府信息公开条例》(以下简称《条例》)的规定，现公布四平市铁西区政府2023年度政府信息公开工作报告。全文由“总体情况”“主动公开政府信息情况”“收到和处理政府信息公开申请情况”“政府信息公开行政复议和行政诉讼情况”“工作中存在的主要问题及改进情况”“其他需要报告的事项”六个部分组成。本报告中所使用数据统计期限自2023年1月1日起至12月31日止。电子版可在四平市铁西区人民政府门户网站（http://txqxxgk.siping.gov.cn/szf_4966/bgsxxgknb/）政府信息公开专栏下载。如对本报告有任何疑问，请与四平市铁西区人民政府办公室联系（地址：四平市铁西区海丰大街2118号，邮编：136000，电话：0434-3273010，邮箱：txzfbxx@126.com）。</w:t>
      </w:r>
    </w:p>
    <w:p>
      <w:pPr>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一、总体情况</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四平市铁西区区人民政府深入贯彻国家和上级政府关于政府信息公开的决策部署，坚持以人民为中心的发展思想，加快转变政府职能，推动政府决策和管理服务更加透明规范，按照《中华人民共和国政府信息公开条例》要求，不断丰富公开内容，拓宽公开形式和渠道，增强公开质量和实效，切实保障和维护人民群众对政府政务信息的知情权。</w:t>
      </w:r>
    </w:p>
    <w:p>
      <w:pPr>
        <w:ind w:firstLine="480" w:firstLineChars="200"/>
        <w:rPr>
          <w:rFonts w:hint="eastAsia" w:ascii="宋体" w:hAnsi="宋体" w:eastAsia="宋体" w:cs="宋体"/>
          <w:sz w:val="24"/>
          <w:szCs w:val="24"/>
        </w:rPr>
      </w:pPr>
      <w:r>
        <w:rPr>
          <w:rFonts w:hint="eastAsia" w:ascii="楷体_GB2312" w:hAnsi="楷体_GB2312" w:eastAsia="楷体_GB2312" w:cs="楷体_GB2312"/>
          <w:sz w:val="24"/>
          <w:szCs w:val="24"/>
          <w:lang w:val="en-US" w:eastAsia="zh-CN"/>
        </w:rPr>
        <w:t>一是</w:t>
      </w:r>
      <w:r>
        <w:rPr>
          <w:rFonts w:hint="eastAsia" w:ascii="楷体_GB2312" w:hAnsi="楷体_GB2312" w:eastAsia="楷体_GB2312" w:cs="楷体_GB2312"/>
          <w:sz w:val="24"/>
          <w:szCs w:val="24"/>
        </w:rPr>
        <w:t>组织推动全区政府信息公开工作。</w:t>
      </w:r>
      <w:r>
        <w:rPr>
          <w:rFonts w:hint="eastAsia" w:ascii="宋体" w:hAnsi="宋体" w:eastAsia="宋体" w:cs="宋体"/>
          <w:sz w:val="24"/>
          <w:szCs w:val="24"/>
        </w:rPr>
        <w:t>认真履行“推进、指导、协调、监督”政府信息公开的工作职责，组织开展调研、督导等工作，积极推进新《条例》贯彻落实。强化政府信息资源的规范化、标准化、信息化管理。</w:t>
      </w:r>
    </w:p>
    <w:p>
      <w:pPr>
        <w:ind w:firstLine="480" w:firstLineChars="200"/>
        <w:rPr>
          <w:rFonts w:hint="default" w:ascii="宋体" w:hAnsi="宋体" w:eastAsia="宋体" w:cs="宋体"/>
          <w:sz w:val="24"/>
          <w:szCs w:val="24"/>
          <w:lang w:val="en-US" w:eastAsia="zh-CN"/>
        </w:rPr>
      </w:pPr>
      <w:r>
        <w:rPr>
          <w:rFonts w:hint="eastAsia" w:ascii="楷体_GB2312" w:hAnsi="楷体_GB2312" w:eastAsia="楷体_GB2312" w:cs="楷体_GB2312"/>
          <w:sz w:val="24"/>
          <w:szCs w:val="24"/>
        </w:rPr>
        <w:t>二是规范建设提高政府信息公开质量。</w:t>
      </w:r>
      <w:r>
        <w:rPr>
          <w:rFonts w:hint="eastAsia" w:ascii="宋体" w:hAnsi="宋体" w:eastAsia="宋体" w:cs="宋体"/>
          <w:sz w:val="24"/>
          <w:szCs w:val="24"/>
        </w:rPr>
        <w:t>推进政策集中公开，在铁西区门户网站政府信息公开专栏内开设政策文件、政策解读等相关栏目，围绕全区重大决策部署以及涉及公民法人和其它组织切身利益、重大公共利益、需社会公众广泛知晓的重要政策性文件，全面进行解读及公布。做好基层政务公开标准化目录动态优化更新。对已经梳理完成的各领域政务公开事项标准目录开展自查自纠工作，充分结合区域和领域特点，以基层群众实际需求为导向，及时优化更新本地区试点领域政务公开事项标准目录。督促各部门、各单位对标《基层政务公开标准化目录》相应信息及时、规范公开。</w:t>
      </w:r>
      <w:r>
        <w:rPr>
          <w:rFonts w:hint="eastAsia" w:ascii="宋体" w:hAnsi="宋体" w:cs="宋体"/>
          <w:sz w:val="24"/>
          <w:szCs w:val="24"/>
          <w:lang w:val="en-US" w:eastAsia="zh-CN"/>
        </w:rPr>
        <w:t>全年在政府信息公开专栏共发布各类信息562件。</w:t>
      </w:r>
    </w:p>
    <w:p>
      <w:pPr>
        <w:ind w:firstLine="480" w:firstLineChars="200"/>
        <w:rPr>
          <w:rFonts w:hint="eastAsia" w:ascii="宋体" w:hAnsi="宋体" w:eastAsia="宋体" w:cs="宋体"/>
          <w:sz w:val="24"/>
          <w:szCs w:val="24"/>
        </w:rPr>
      </w:pPr>
      <w:r>
        <w:rPr>
          <w:rFonts w:hint="eastAsia" w:ascii="楷体_GB2312" w:hAnsi="楷体_GB2312" w:eastAsia="楷体_GB2312" w:cs="楷体_GB2312"/>
          <w:sz w:val="24"/>
          <w:szCs w:val="24"/>
          <w:lang w:val="en-US" w:eastAsia="zh-CN"/>
        </w:rPr>
        <w:t>三</w:t>
      </w:r>
      <w:r>
        <w:rPr>
          <w:rFonts w:hint="eastAsia" w:ascii="楷体_GB2312" w:hAnsi="楷体_GB2312" w:eastAsia="楷体_GB2312" w:cs="楷体_GB2312"/>
          <w:sz w:val="24"/>
          <w:szCs w:val="24"/>
        </w:rPr>
        <w:t>是妥善处理依申请公开提升公开服务能力。</w:t>
      </w:r>
      <w:r>
        <w:rPr>
          <w:rFonts w:hint="eastAsia" w:ascii="宋体" w:hAnsi="宋体" w:eastAsia="宋体" w:cs="宋体"/>
          <w:sz w:val="24"/>
          <w:szCs w:val="24"/>
        </w:rPr>
        <w:t>严格落实《条例》，依法依规办理政府信息公开申请，畅通申请渠道，优化办事流程，提升办事效率。针对复杂疑难申请，加强会商研判，审慎做出答复，防范法律风险。面对群众高度负责，主动沟通靠前服务，体现“未诉先办”服务理念。202</w:t>
      </w:r>
      <w:r>
        <w:rPr>
          <w:rFonts w:hint="eastAsia" w:ascii="宋体" w:hAnsi="宋体" w:cs="宋体"/>
          <w:sz w:val="24"/>
          <w:szCs w:val="24"/>
          <w:lang w:val="en-US" w:eastAsia="zh-CN"/>
        </w:rPr>
        <w:t>3</w:t>
      </w:r>
      <w:r>
        <w:rPr>
          <w:rFonts w:hint="eastAsia" w:ascii="宋体" w:hAnsi="宋体" w:eastAsia="宋体" w:cs="宋体"/>
          <w:sz w:val="24"/>
          <w:szCs w:val="24"/>
        </w:rPr>
        <w:t>年，全区受理</w:t>
      </w:r>
      <w:r>
        <w:rPr>
          <w:rFonts w:hint="eastAsia" w:ascii="宋体" w:hAnsi="宋体" w:cs="宋体"/>
          <w:sz w:val="24"/>
          <w:szCs w:val="24"/>
          <w:lang w:val="en-US" w:eastAsia="zh-CN"/>
        </w:rPr>
        <w:t>公民</w:t>
      </w:r>
      <w:r>
        <w:rPr>
          <w:rFonts w:hint="eastAsia" w:ascii="宋体" w:hAnsi="宋体" w:eastAsia="宋体" w:cs="宋体"/>
          <w:sz w:val="24"/>
          <w:szCs w:val="24"/>
        </w:rPr>
        <w:t>提出的政府信息公开申请</w:t>
      </w:r>
      <w:r>
        <w:rPr>
          <w:rFonts w:hint="eastAsia" w:ascii="宋体" w:hAnsi="宋体" w:cs="宋体"/>
          <w:sz w:val="24"/>
          <w:szCs w:val="24"/>
          <w:lang w:val="en-US" w:eastAsia="zh-CN"/>
        </w:rPr>
        <w:t>19</w:t>
      </w:r>
      <w:r>
        <w:rPr>
          <w:rFonts w:hint="eastAsia" w:ascii="宋体" w:hAnsi="宋体" w:eastAsia="宋体" w:cs="宋体"/>
          <w:sz w:val="24"/>
          <w:szCs w:val="24"/>
        </w:rPr>
        <w:t>件</w:t>
      </w:r>
      <w:r>
        <w:rPr>
          <w:rFonts w:hint="eastAsia" w:ascii="宋体" w:hAnsi="宋体" w:cs="宋体"/>
          <w:sz w:val="24"/>
          <w:szCs w:val="24"/>
          <w:lang w:eastAsia="zh-CN"/>
        </w:rPr>
        <w:t>，</w:t>
      </w:r>
      <w:r>
        <w:rPr>
          <w:rFonts w:hint="eastAsia" w:ascii="宋体" w:hAnsi="宋体" w:cs="宋体"/>
          <w:sz w:val="24"/>
          <w:szCs w:val="24"/>
          <w:lang w:val="en-US" w:eastAsia="zh-CN"/>
        </w:rPr>
        <w:t>已全部办理完成</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楷体_GB2312" w:hAnsi="楷体_GB2312" w:eastAsia="楷体_GB2312" w:cs="楷体_GB2312"/>
          <w:sz w:val="24"/>
          <w:szCs w:val="24"/>
          <w:lang w:val="en-US" w:eastAsia="zh-CN"/>
        </w:rPr>
        <w:t>四是</w:t>
      </w:r>
      <w:r>
        <w:rPr>
          <w:rFonts w:hint="eastAsia" w:ascii="楷体_GB2312" w:hAnsi="楷体_GB2312" w:eastAsia="楷体_GB2312" w:cs="楷体_GB2312"/>
          <w:sz w:val="24"/>
          <w:szCs w:val="24"/>
        </w:rPr>
        <w:t>强化政府信息公开平台建设和监督保障。</w:t>
      </w:r>
      <w:r>
        <w:rPr>
          <w:rFonts w:hint="eastAsia" w:ascii="宋体" w:hAnsi="宋体" w:eastAsia="宋体" w:cs="宋体"/>
          <w:sz w:val="24"/>
          <w:szCs w:val="24"/>
        </w:rPr>
        <w:t>抓好队伍建设，全区各单位均成立完善的政务公开（政府信息公开）工作领导小组，明确具体工作人员，形成了上下联动、齐抓共管的工作格局。压实考核责任，将政府信息公开考核纳入全区高质量发展考核体系，通过调整考核项目、分值比重，引导各单位着力解决政府信息公开的薄弱环节和瓶颈问题，督促年度重点任务落实。为保障政府信息发布的及时性、准确性和全面性，与网站平台建立了互动联动机制，根据实际需要增设板块内容，进一步提升信息公开平台发布功能。</w:t>
      </w: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2252</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201.1</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noWrap w:val="0"/>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noWrap w:val="0"/>
            <w:vAlign w:val="top"/>
          </w:tcPr>
          <w:p>
            <w:pPr>
              <w:rPr>
                <w:rFonts w:ascii="宋体" w:hAnsi="宋体" w:eastAsia="宋体" w:cs="宋体"/>
                <w:b/>
                <w:bCs/>
                <w:sz w:val="24"/>
                <w:szCs w:val="24"/>
              </w:rPr>
            </w:pPr>
          </w:p>
        </w:tc>
        <w:tc>
          <w:tcPr>
            <w:tcW w:w="687" w:type="dxa"/>
            <w:vMerge w:val="restart"/>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noWrap w:val="0"/>
            <w:vAlign w:val="top"/>
          </w:tcPr>
          <w:p>
            <w:pPr>
              <w:rPr>
                <w:rFonts w:ascii="宋体" w:hAnsi="宋体" w:eastAsia="宋体" w:cs="宋体"/>
                <w:b/>
                <w:bCs/>
                <w:sz w:val="24"/>
                <w:szCs w:val="24"/>
              </w:rPr>
            </w:pPr>
          </w:p>
        </w:tc>
        <w:tc>
          <w:tcPr>
            <w:tcW w:w="687" w:type="dxa"/>
            <w:vMerge w:val="continue"/>
            <w:noWrap w:val="0"/>
            <w:vAlign w:val="top"/>
          </w:tcPr>
          <w:p>
            <w:pPr>
              <w:rPr>
                <w:rFonts w:ascii="宋体" w:hAnsi="宋体" w:eastAsia="宋体" w:cs="宋体"/>
                <w:b/>
                <w:bCs/>
                <w:sz w:val="24"/>
                <w:szCs w:val="24"/>
              </w:rPr>
            </w:pPr>
          </w:p>
        </w:tc>
        <w:tc>
          <w:tcPr>
            <w:tcW w:w="698"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noWrap w:val="0"/>
            <w:vAlign w:val="top"/>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noWrap w:val="0"/>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3480" w:type="dxa"/>
            <w:gridSpan w:val="2"/>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pPr>
              <w:rPr>
                <w:rFonts w:hint="eastAsia" w:ascii="宋体" w:hAnsi="宋体" w:eastAsia="宋体" w:cs="宋体"/>
                <w:b/>
                <w:bCs/>
                <w:sz w:val="24"/>
                <w:szCs w:val="24"/>
                <w:lang w:eastAsia="zh-CN"/>
              </w:rPr>
            </w:pPr>
            <w:r>
              <w:rPr>
                <w:rFonts w:hint="eastAsia" w:ascii="宋体" w:hAnsi="宋体" w:cs="宋体"/>
                <w:b/>
                <w:bCs/>
                <w:sz w:val="24"/>
                <w:szCs w:val="24"/>
                <w:lang w:eastAsia="zh-CN"/>
              </w:rPr>
              <w:t>0</w:t>
            </w: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noWrap w:val="0"/>
            <w:vAlign w:val="top"/>
          </w:tcPr>
          <w:p>
            <w:pPr>
              <w:rPr>
                <w:rFonts w:ascii="宋体" w:hAnsi="宋体" w:eastAsia="宋体" w:cs="宋体"/>
                <w:b/>
                <w:bCs/>
                <w:sz w:val="24"/>
                <w:szCs w:val="24"/>
              </w:rPr>
            </w:pPr>
          </w:p>
        </w:tc>
        <w:tc>
          <w:tcPr>
            <w:tcW w:w="3480" w:type="dxa"/>
            <w:gridSpan w:val="2"/>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21</w:t>
            </w:r>
          </w:p>
        </w:tc>
        <w:tc>
          <w:tcPr>
            <w:tcW w:w="698"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31"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09"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64"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87"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33"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6</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bookmarkStart w:id="0" w:name="_GoBack"/>
            <w:bookmarkEnd w:id="0"/>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cs="宋体"/>
          <w:sz w:val="24"/>
          <w:szCs w:val="24"/>
          <w:lang w:val="en-US" w:eastAsia="zh-CN"/>
        </w:rPr>
        <w:t>全区</w:t>
      </w:r>
      <w:r>
        <w:rPr>
          <w:rFonts w:hint="eastAsia" w:ascii="宋体" w:hAnsi="宋体" w:eastAsia="宋体" w:cs="宋体"/>
          <w:sz w:val="24"/>
          <w:szCs w:val="24"/>
        </w:rPr>
        <w:t>政府信息公开工作取得一定成效，但与人民群众对新时代政府信息公开工作的期盼还有一定差距，政府信息公开队伍专业化稳定化有待加强，高质量开展主动公开工作有待进一步提升。2024年，我们将秉持以人民为中心的工作理念，坚持问题导向，对标对表优化工作流程，加强队伍培训，提升主动公开工作质量。</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2023年，区政府严格落实《政府信息公开信息处理费管理办法》（国办函[2020]109号）要求，未收取政府信息公开信息处理费。</w:t>
      </w:r>
    </w:p>
    <w:p>
      <w:pPr>
        <w:pStyle w:val="6"/>
        <w:ind w:left="0" w:leftChars="0" w:firstLine="0" w:firstLineChars="0"/>
        <w:rPr>
          <w:rFonts w:hint="default"/>
          <w:lang w:val="en-US" w:eastAsia="zh-CN"/>
        </w:rPr>
      </w:pPr>
    </w:p>
    <w:p>
      <w:pPr>
        <w:jc w:val="right"/>
        <w:rPr>
          <w:rFonts w:hint="eastAsia"/>
          <w:lang w:val="en-US" w:eastAsia="zh-CN"/>
        </w:rPr>
      </w:pPr>
      <w:r>
        <w:rPr>
          <w:rFonts w:hint="eastAsia"/>
          <w:lang w:val="en-US" w:eastAsia="zh-CN"/>
        </w:rPr>
        <w:t>四平市铁西区人民政府</w:t>
      </w:r>
    </w:p>
    <w:p>
      <w:pPr>
        <w:jc w:val="right"/>
        <w:rPr>
          <w:rFonts w:hint="default"/>
          <w:lang w:val="en-US" w:eastAsia="zh-CN"/>
        </w:rPr>
      </w:pPr>
      <w:r>
        <w:rPr>
          <w:rFonts w:hint="eastAsia"/>
          <w:lang w:val="en-US" w:eastAsia="zh-CN"/>
        </w:rPr>
        <w:t>2024年1月15日</w:t>
      </w:r>
    </w:p>
    <w:p/>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7AIz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0288;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wCM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63047ABC"/>
    <w:rsid w:val="025A4033"/>
    <w:rsid w:val="09097FE0"/>
    <w:rsid w:val="14336319"/>
    <w:rsid w:val="1AF32F8C"/>
    <w:rsid w:val="1DDE4B7D"/>
    <w:rsid w:val="1EC07E9C"/>
    <w:rsid w:val="246442CC"/>
    <w:rsid w:val="25E64637"/>
    <w:rsid w:val="27734588"/>
    <w:rsid w:val="287405B8"/>
    <w:rsid w:val="2C1D0017"/>
    <w:rsid w:val="33572FB0"/>
    <w:rsid w:val="39007C46"/>
    <w:rsid w:val="3B44206B"/>
    <w:rsid w:val="3D436353"/>
    <w:rsid w:val="3D4445A5"/>
    <w:rsid w:val="48DA5DBD"/>
    <w:rsid w:val="49D00F6E"/>
    <w:rsid w:val="4AAE72B7"/>
    <w:rsid w:val="4E2B2C17"/>
    <w:rsid w:val="552C7484"/>
    <w:rsid w:val="609F016E"/>
    <w:rsid w:val="616D381B"/>
    <w:rsid w:val="618E3791"/>
    <w:rsid w:val="62087D51"/>
    <w:rsid w:val="63047ABC"/>
    <w:rsid w:val="64EF2799"/>
    <w:rsid w:val="75F93477"/>
    <w:rsid w:val="797A667D"/>
    <w:rsid w:val="79F301DD"/>
    <w:rsid w:val="7D75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570"/>
    </w:pPr>
    <w:rPr>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autoRedefine/>
    <w:qFormat/>
    <w:uiPriority w:val="0"/>
    <w:pPr>
      <w:spacing w:after="120"/>
      <w:ind w:left="420" w:leftChars="200" w:firstLine="420" w:firstLineChars="200"/>
    </w:pPr>
    <w:rPr>
      <w:sz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2024-01-12T02:05:00Z</dcterms:created>
  <dc:creator>红红的雨</dc:creator>
  <cp:lastModifiedBy>红红的雨</cp:lastModifiedBy>
  <cp:lastPrinted>2024-01-24T03:25:00Z</cp:lastPrinted>
  <dcterms:modified xsi:type="dcterms:W3CDTF">2024-02-21T01:11:18Z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E08EAEDB114142B28DE77CB1F0CB3894_11</vt:lpwstr>
  </property>
</Properties>
</file>