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EFEFE"/>
        <w:spacing w:before="100" w:beforeAutospacing="0" w:after="100" w:afterAutospacing="0" w:line="600" w:lineRule="atLeast"/>
        <w:ind w:right="0"/>
        <w:jc w:val="center"/>
        <w:rPr>
          <w:rFonts w:hint="eastAsia" w:ascii="宋体" w:hAnsi="宋体" w:eastAsia="宋体" w:cs="宋体"/>
          <w:b/>
          <w:bCs/>
          <w:i w:val="0"/>
          <w:iCs w:val="0"/>
          <w:caps w:val="0"/>
          <w:color w:val="000000"/>
          <w:spacing w:val="0"/>
          <w:sz w:val="36"/>
          <w:szCs w:val="36"/>
          <w:shd w:val="clear" w:fill="FEFEFE"/>
          <w:lang w:val="en-US" w:eastAsia="zh-CN"/>
        </w:rPr>
      </w:pPr>
      <w:r>
        <w:rPr>
          <w:rFonts w:hint="eastAsia" w:ascii="宋体" w:hAnsi="宋体" w:eastAsia="宋体" w:cs="宋体"/>
          <w:b/>
          <w:bCs/>
          <w:i w:val="0"/>
          <w:iCs w:val="0"/>
          <w:caps w:val="0"/>
          <w:color w:val="000000"/>
          <w:spacing w:val="0"/>
          <w:sz w:val="36"/>
          <w:szCs w:val="36"/>
          <w:shd w:val="clear" w:fill="FEFEFE"/>
          <w:lang w:val="en-US" w:eastAsia="zh-CN"/>
        </w:rPr>
        <w:t>四平市铁西区人民政府办公室</w:t>
      </w:r>
    </w:p>
    <w:p>
      <w:pPr>
        <w:pStyle w:val="5"/>
        <w:keepNext w:val="0"/>
        <w:keepLines w:val="0"/>
        <w:widowControl/>
        <w:suppressLineNumbers w:val="0"/>
        <w:shd w:val="clear" w:fill="FEFEFE"/>
        <w:spacing w:before="100" w:beforeAutospacing="0" w:after="100" w:afterAutospacing="0" w:line="600" w:lineRule="atLeast"/>
        <w:ind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36"/>
          <w:szCs w:val="36"/>
          <w:shd w:val="clear" w:fill="FEFEFE"/>
          <w:lang w:val="en-US" w:eastAsia="zh-CN"/>
        </w:rPr>
        <w:t>202</w:t>
      </w:r>
      <w:r>
        <w:rPr>
          <w:rFonts w:hint="eastAsia" w:ascii="宋体" w:hAnsi="宋体" w:cs="宋体"/>
          <w:b/>
          <w:bCs/>
          <w:i w:val="0"/>
          <w:iCs w:val="0"/>
          <w:caps w:val="0"/>
          <w:color w:val="000000"/>
          <w:spacing w:val="0"/>
          <w:sz w:val="36"/>
          <w:szCs w:val="36"/>
          <w:shd w:val="clear" w:fill="FEFEFE"/>
          <w:lang w:val="en-US" w:eastAsia="zh-CN"/>
        </w:rPr>
        <w:t>3</w:t>
      </w:r>
      <w:r>
        <w:rPr>
          <w:rFonts w:hint="eastAsia" w:ascii="宋体" w:hAnsi="宋体" w:eastAsia="宋体" w:cs="宋体"/>
          <w:b/>
          <w:bCs/>
          <w:i w:val="0"/>
          <w:iCs w:val="0"/>
          <w:caps w:val="0"/>
          <w:color w:val="000000"/>
          <w:spacing w:val="0"/>
          <w:sz w:val="36"/>
          <w:szCs w:val="36"/>
          <w:shd w:val="clear" w:fill="FEFEFE"/>
          <w:lang w:val="en-US" w:eastAsia="zh-CN"/>
        </w:rPr>
        <w:t>年政府信息公开工作年度报告</w:t>
      </w:r>
    </w:p>
    <w:p>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以下简称《条例》)的规定，现公布四平市铁西区政府办公室2023年度政府信息公开工作报告。全文由“总体情况”“主动公开政府信息情况”“收到和处理政府信息公开申请情况”“政府信息公开行政复议和行政诉讼情况”“工作中存在的主要问题及改进情况”“其他需要报告的事项”六个部分组成。本报告中所使用数据统计期限自2023年1月1日起至12月31日止。</w:t>
      </w:r>
      <w:r>
        <w:rPr>
          <w:rFonts w:hint="eastAsia" w:ascii="宋体" w:hAnsi="宋体" w:eastAsia="宋体" w:cs="宋体"/>
          <w:i w:val="0"/>
          <w:iCs w:val="0"/>
          <w:caps w:val="0"/>
          <w:color w:val="000000"/>
          <w:spacing w:val="0"/>
          <w:sz w:val="24"/>
          <w:szCs w:val="24"/>
          <w:shd w:val="clear" w:fill="FEFEFE"/>
        </w:rPr>
        <w:t>电子版可在四平市</w:t>
      </w:r>
      <w:r>
        <w:rPr>
          <w:rFonts w:hint="eastAsia" w:ascii="宋体" w:hAnsi="宋体" w:cs="宋体"/>
          <w:i w:val="0"/>
          <w:iCs w:val="0"/>
          <w:caps w:val="0"/>
          <w:color w:val="000000"/>
          <w:spacing w:val="0"/>
          <w:sz w:val="24"/>
          <w:szCs w:val="24"/>
          <w:shd w:val="clear" w:fill="FEFEFE"/>
          <w:lang w:val="en-US" w:eastAsia="zh-CN"/>
        </w:rPr>
        <w:t>铁西区</w:t>
      </w:r>
      <w:r>
        <w:rPr>
          <w:rFonts w:hint="eastAsia" w:ascii="宋体" w:hAnsi="宋体" w:eastAsia="宋体" w:cs="宋体"/>
          <w:i w:val="0"/>
          <w:iCs w:val="0"/>
          <w:caps w:val="0"/>
          <w:color w:val="000000"/>
          <w:spacing w:val="0"/>
          <w:sz w:val="24"/>
          <w:szCs w:val="24"/>
          <w:shd w:val="clear" w:fill="FEFEFE"/>
        </w:rPr>
        <w:t>人民政府门户网站</w:t>
      </w:r>
      <w:r>
        <w:rPr>
          <w:rFonts w:hint="eastAsia" w:ascii="宋体" w:hAnsi="宋体" w:cs="宋体"/>
          <w:i w:val="0"/>
          <w:iCs w:val="0"/>
          <w:caps w:val="0"/>
          <w:color w:val="000000"/>
          <w:spacing w:val="0"/>
          <w:sz w:val="24"/>
          <w:szCs w:val="24"/>
          <w:shd w:val="clear" w:fill="FEFEFE"/>
          <w:lang w:eastAsia="zh-CN"/>
        </w:rPr>
        <w:t>（http://txqxxgk.siping.gov.cn/szf_4966/bgsxxgknb/）</w:t>
      </w:r>
      <w:r>
        <w:rPr>
          <w:rFonts w:hint="eastAsia" w:ascii="宋体" w:hAnsi="宋体" w:eastAsia="宋体" w:cs="宋体"/>
          <w:i w:val="0"/>
          <w:iCs w:val="0"/>
          <w:caps w:val="0"/>
          <w:color w:val="000000"/>
          <w:spacing w:val="0"/>
          <w:sz w:val="24"/>
          <w:szCs w:val="24"/>
          <w:shd w:val="clear" w:fill="FEFEFE"/>
        </w:rPr>
        <w:t>政府信息公开专栏下载</w:t>
      </w:r>
      <w:r>
        <w:rPr>
          <w:rFonts w:hint="eastAsia" w:ascii="宋体" w:hAnsi="宋体" w:eastAsia="宋体" w:cs="宋体"/>
          <w:i w:val="0"/>
          <w:iCs w:val="0"/>
          <w:caps w:val="0"/>
          <w:color w:val="000000"/>
          <w:spacing w:val="0"/>
          <w:sz w:val="24"/>
          <w:szCs w:val="24"/>
          <w:shd w:val="clear" w:fill="FEFEFE"/>
          <w:lang w:eastAsia="zh-CN"/>
        </w:rPr>
        <w:t>。</w:t>
      </w:r>
      <w:r>
        <w:rPr>
          <w:rFonts w:hint="eastAsia" w:ascii="宋体" w:hAnsi="宋体" w:eastAsia="宋体" w:cs="宋体"/>
          <w:i w:val="0"/>
          <w:iCs w:val="0"/>
          <w:caps w:val="0"/>
          <w:color w:val="000000"/>
          <w:spacing w:val="0"/>
          <w:sz w:val="24"/>
          <w:szCs w:val="24"/>
          <w:shd w:val="clear" w:fill="FEFEFE"/>
        </w:rPr>
        <w:t>如对本报告有任何疑问，请与四平市铁西区人民政府办公室联系（地址：四平市铁西区海丰大街2118号，邮编：136000，电话：0434-3273010，邮箱：</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"mailto:txzwgk@126.com%EF%BC%89%E3%80%82" </w:instrText>
      </w:r>
      <w:r>
        <w:rPr>
          <w:rFonts w:hint="eastAsia" w:ascii="宋体" w:hAnsi="宋体" w:eastAsia="宋体" w:cs="宋体"/>
          <w:i w:val="0"/>
          <w:iCs w:val="0"/>
          <w:caps w:val="0"/>
          <w:color w:val="auto"/>
          <w:spacing w:val="0"/>
          <w:sz w:val="24"/>
          <w:szCs w:val="24"/>
          <w:u w:val="none"/>
        </w:rPr>
        <w:fldChar w:fldCharType="separate"/>
      </w:r>
      <w:r>
        <w:rPr>
          <w:rStyle w:val="10"/>
          <w:rFonts w:hint="eastAsia" w:ascii="宋体" w:hAnsi="宋体" w:cs="宋体"/>
          <w:i w:val="0"/>
          <w:iCs w:val="0"/>
          <w:caps w:val="0"/>
          <w:color w:val="auto"/>
          <w:spacing w:val="0"/>
          <w:sz w:val="24"/>
          <w:szCs w:val="24"/>
          <w:u w:val="none"/>
          <w:shd w:val="clear" w:fill="FEFEFE"/>
          <w:lang w:val="en-US" w:eastAsia="zh-CN"/>
        </w:rPr>
        <w:t>txzfbxx</w:t>
      </w:r>
      <w:r>
        <w:rPr>
          <w:rStyle w:val="10"/>
          <w:rFonts w:hint="eastAsia" w:ascii="宋体" w:hAnsi="宋体" w:eastAsia="宋体" w:cs="宋体"/>
          <w:i w:val="0"/>
          <w:iCs w:val="0"/>
          <w:caps w:val="0"/>
          <w:color w:val="auto"/>
          <w:spacing w:val="0"/>
          <w:sz w:val="24"/>
          <w:szCs w:val="24"/>
          <w:u w:val="none"/>
          <w:shd w:val="clear" w:fill="FEFEFE"/>
        </w:rPr>
        <w:t>@126.com）。</w:t>
      </w:r>
      <w:r>
        <w:rPr>
          <w:rFonts w:hint="eastAsia" w:ascii="宋体" w:hAnsi="宋体" w:eastAsia="宋体" w:cs="宋体"/>
          <w:i w:val="0"/>
          <w:iCs w:val="0"/>
          <w:caps w:val="0"/>
          <w:color w:val="auto"/>
          <w:spacing w:val="0"/>
          <w:sz w:val="24"/>
          <w:szCs w:val="24"/>
          <w:u w:val="none"/>
        </w:rPr>
        <w:fldChar w:fldCharType="end"/>
      </w:r>
    </w:p>
    <w:p>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总体情况</w:t>
      </w:r>
    </w:p>
    <w:p>
      <w:p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2023年，四平市铁西区</w:t>
      </w:r>
      <w:r>
        <w:rPr>
          <w:rFonts w:hint="eastAsia" w:ascii="宋体" w:hAnsi="宋体" w:eastAsia="宋体" w:cs="宋体"/>
          <w:sz w:val="24"/>
          <w:szCs w:val="24"/>
        </w:rPr>
        <w:t>人民政府办公室坚持以习近平新时代中国特色社会主义思想为指导，全面学习贯彻党的二十大精神和习近平总书记关于</w:t>
      </w:r>
      <w:r>
        <w:rPr>
          <w:rFonts w:hint="eastAsia" w:ascii="宋体" w:hAnsi="宋体" w:cs="宋体"/>
          <w:sz w:val="24"/>
          <w:szCs w:val="24"/>
          <w:lang w:val="en-US" w:eastAsia="zh-CN"/>
        </w:rPr>
        <w:t>政府信息</w:t>
      </w:r>
      <w:r>
        <w:rPr>
          <w:rFonts w:hint="eastAsia" w:ascii="宋体" w:hAnsi="宋体" w:eastAsia="宋体" w:cs="宋体"/>
          <w:sz w:val="24"/>
          <w:szCs w:val="24"/>
        </w:rPr>
        <w:t>公开工作的重要指示精神，认真贯彻落实党中央、国务院有关决策部署，按照省委、省政府和市委、市政府的工作要求，坚持以人民为中心，以“公开为常态，不公开为例外”为原则，做好政府信息公开各项工作，充分发挥</w:t>
      </w:r>
      <w:r>
        <w:rPr>
          <w:rFonts w:hint="eastAsia" w:ascii="宋体" w:hAnsi="宋体" w:cs="宋体"/>
          <w:sz w:val="24"/>
          <w:szCs w:val="24"/>
          <w:lang w:val="en-US" w:eastAsia="zh-CN"/>
        </w:rPr>
        <w:t>政府信息公开</w:t>
      </w:r>
      <w:r>
        <w:rPr>
          <w:rFonts w:hint="eastAsia" w:ascii="宋体" w:hAnsi="宋体" w:eastAsia="宋体" w:cs="宋体"/>
          <w:sz w:val="24"/>
          <w:szCs w:val="24"/>
        </w:rPr>
        <w:t>在建设法治政府、服务型政府等方面的促进作用。</w:t>
      </w:r>
    </w:p>
    <w:p>
      <w:p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一</w:t>
      </w:r>
      <w:r>
        <w:rPr>
          <w:rFonts w:hint="eastAsia" w:ascii="宋体" w:hAnsi="宋体" w:eastAsia="宋体" w:cs="宋体"/>
          <w:sz w:val="24"/>
          <w:szCs w:val="24"/>
        </w:rPr>
        <w:t>是统筹推进政府信息主动公开。严格按照信息公开条例要求，以公开为常态、不公开为例外的基本原则，坚持把群众最关心、最需要了解的事项作为政府信息公开的重点。对要发布的信息认真审核，由主管领导把关，严格按工作要求发布，确保信息公开质量。加强对政府信息公开相关文件、规定的学习，将政府信息公开作为年度重点工作，并分解信息公开重点任务，对重大政策性文件的解读明确规范，确保解读准确、及时，应读尽读。</w:t>
      </w:r>
    </w:p>
    <w:p>
      <w:p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二</w:t>
      </w:r>
      <w:r>
        <w:rPr>
          <w:rFonts w:hint="eastAsia" w:ascii="宋体" w:hAnsi="宋体" w:eastAsia="宋体" w:cs="宋体"/>
          <w:sz w:val="24"/>
          <w:szCs w:val="24"/>
        </w:rPr>
        <w:t>是规范处理政府信息公开申请。依申请公开是直接回应人民群众的重要途径，严格按照相关规定操作，认真规范核对依申请公开答复内容，不断完善办理流程，建立好与人民群众紧密联系的重要桥梁和纽带。全年受理依申请公开信息6件，已全部办结。申请内容主要集中在土地征收、房屋征收和社会民生等方面，我办根据实际行政职能，协调、收集、整理依申请公开工作中存在的难点问题，加强调研分析，研究提出具体办法建议，实事求是的为申请人作出受理答复，未收到行政复议申请。</w:t>
      </w:r>
    </w:p>
    <w:p>
      <w:p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三是</w:t>
      </w:r>
      <w:r>
        <w:rPr>
          <w:rFonts w:hint="eastAsia" w:ascii="宋体" w:hAnsi="宋体" w:eastAsia="宋体" w:cs="宋体"/>
          <w:sz w:val="24"/>
          <w:szCs w:val="24"/>
        </w:rPr>
        <w:t>强化政府信息公开平台内容保障。按照省《关于进一步规范政府信息公开平台建设强化网站政府信息公开专栏内容保障的通知》，从明确定位、强化管理、统一建设和规范标准等方面，对乡、</w:t>
      </w:r>
      <w:r>
        <w:rPr>
          <w:rFonts w:hint="eastAsia" w:ascii="宋体" w:hAnsi="宋体" w:cs="宋体"/>
          <w:sz w:val="24"/>
          <w:szCs w:val="24"/>
          <w:lang w:val="en-US" w:eastAsia="zh-CN"/>
        </w:rPr>
        <w:t>各</w:t>
      </w:r>
      <w:r>
        <w:rPr>
          <w:rFonts w:hint="eastAsia" w:ascii="宋体" w:hAnsi="宋体" w:eastAsia="宋体" w:cs="宋体"/>
          <w:sz w:val="24"/>
          <w:szCs w:val="24"/>
        </w:rPr>
        <w:t>街道及</w:t>
      </w:r>
      <w:r>
        <w:rPr>
          <w:rFonts w:hint="eastAsia" w:ascii="宋体" w:hAnsi="宋体" w:cs="宋体"/>
          <w:sz w:val="24"/>
          <w:szCs w:val="24"/>
          <w:lang w:val="en-US" w:eastAsia="zh-CN"/>
        </w:rPr>
        <w:t>区</w:t>
      </w:r>
      <w:r>
        <w:rPr>
          <w:rFonts w:hint="eastAsia" w:ascii="宋体" w:hAnsi="宋体" w:eastAsia="宋体" w:cs="宋体"/>
          <w:sz w:val="24"/>
          <w:szCs w:val="24"/>
        </w:rPr>
        <w:t>直各部门政府信息公开平台内容保障提出了具体要求。定期对各部门（单位）已发布的信息内容进行抽查核验，督促各部门（单位）及时发布政府信息，做好平台的内容保障。</w:t>
      </w:r>
    </w:p>
    <w:p>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主动公开政府信息情况</w:t>
      </w:r>
    </w:p>
    <w:tbl>
      <w:tblPr>
        <w:tblStyle w:val="7"/>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收到和处理政府信息公开申请情况</w:t>
      </w:r>
    </w:p>
    <w:tbl>
      <w:tblPr>
        <w:tblStyle w:val="8"/>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noWrap w:val="0"/>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noWrap w:val="0"/>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noWrap w:val="0"/>
            <w:vAlign w:val="top"/>
          </w:tcPr>
          <w:p>
            <w:pPr>
              <w:rPr>
                <w:rFonts w:ascii="宋体" w:hAnsi="宋体" w:eastAsia="宋体" w:cs="宋体"/>
                <w:b/>
                <w:bCs/>
                <w:sz w:val="24"/>
                <w:szCs w:val="24"/>
              </w:rPr>
            </w:pPr>
          </w:p>
        </w:tc>
        <w:tc>
          <w:tcPr>
            <w:tcW w:w="687" w:type="dxa"/>
            <w:vMerge w:val="restart"/>
            <w:noWrap w:val="0"/>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noWrap w:val="0"/>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noWrap w:val="0"/>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noWrap w:val="0"/>
            <w:vAlign w:val="top"/>
          </w:tcPr>
          <w:p>
            <w:pPr>
              <w:rPr>
                <w:rFonts w:ascii="宋体" w:hAnsi="宋体" w:eastAsia="宋体" w:cs="宋体"/>
                <w:b/>
                <w:bCs/>
                <w:sz w:val="24"/>
                <w:szCs w:val="24"/>
              </w:rPr>
            </w:pPr>
          </w:p>
        </w:tc>
        <w:tc>
          <w:tcPr>
            <w:tcW w:w="687" w:type="dxa"/>
            <w:vMerge w:val="continue"/>
            <w:noWrap w:val="0"/>
            <w:vAlign w:val="top"/>
          </w:tcPr>
          <w:p>
            <w:pPr>
              <w:rPr>
                <w:rFonts w:ascii="宋体" w:hAnsi="宋体" w:eastAsia="宋体" w:cs="宋体"/>
                <w:b/>
                <w:bCs/>
                <w:sz w:val="24"/>
                <w:szCs w:val="24"/>
              </w:rPr>
            </w:pPr>
          </w:p>
        </w:tc>
        <w:tc>
          <w:tcPr>
            <w:tcW w:w="698" w:type="dxa"/>
            <w:noWrap w:val="0"/>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noWrap w:val="0"/>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noWrap w:val="0"/>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noWrap w:val="0"/>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noWrap w:val="0"/>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noWrap w:val="0"/>
            <w:vAlign w:val="top"/>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noWrap w:val="0"/>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3480" w:type="dxa"/>
            <w:gridSpan w:val="2"/>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restart"/>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noWrap w:val="0"/>
            <w:vAlign w:val="top"/>
          </w:tcPr>
          <w:p>
            <w:pPr>
              <w:rPr>
                <w:rFonts w:hint="eastAsia" w:ascii="宋体" w:hAnsi="宋体" w:eastAsia="宋体" w:cs="宋体"/>
                <w:b/>
                <w:bCs/>
                <w:sz w:val="24"/>
                <w:szCs w:val="24"/>
                <w:lang w:eastAsia="zh-CN"/>
              </w:rPr>
            </w:pPr>
            <w:r>
              <w:rPr>
                <w:rFonts w:hint="eastAsia" w:ascii="宋体" w:hAnsi="宋体" w:cs="宋体"/>
                <w:b/>
                <w:bCs/>
                <w:sz w:val="24"/>
                <w:szCs w:val="24"/>
                <w:lang w:eastAsia="zh-CN"/>
              </w:rPr>
              <w:t>0</w:t>
            </w: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restart"/>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restart"/>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noWrap w:val="0"/>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center"/>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restart"/>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noWrap w:val="0"/>
            <w:vAlign w:val="top"/>
          </w:tcPr>
          <w:p>
            <w:pPr>
              <w:rPr>
                <w:rFonts w:ascii="宋体" w:hAnsi="宋体" w:eastAsia="宋体" w:cs="宋体"/>
                <w:b/>
                <w:bCs/>
                <w:sz w:val="24"/>
                <w:szCs w:val="24"/>
              </w:rPr>
            </w:pPr>
          </w:p>
        </w:tc>
        <w:tc>
          <w:tcPr>
            <w:tcW w:w="818" w:type="dxa"/>
            <w:vMerge w:val="continue"/>
            <w:noWrap w:val="0"/>
            <w:vAlign w:val="top"/>
          </w:tcPr>
          <w:p>
            <w:pPr>
              <w:rPr>
                <w:rFonts w:ascii="宋体" w:hAnsi="宋体" w:eastAsia="宋体" w:cs="宋体"/>
                <w:b/>
                <w:bCs/>
                <w:sz w:val="24"/>
                <w:szCs w:val="24"/>
              </w:rPr>
            </w:pPr>
          </w:p>
        </w:tc>
        <w:tc>
          <w:tcPr>
            <w:tcW w:w="2662" w:type="dxa"/>
            <w:noWrap w:val="0"/>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noWrap w:val="0"/>
            <w:vAlign w:val="top"/>
          </w:tcPr>
          <w:p>
            <w:pPr>
              <w:rPr>
                <w:rFonts w:ascii="宋体" w:hAnsi="宋体" w:eastAsia="宋体" w:cs="宋体"/>
                <w:b/>
                <w:bCs/>
                <w:sz w:val="24"/>
                <w:szCs w:val="24"/>
              </w:rPr>
            </w:pPr>
          </w:p>
        </w:tc>
        <w:tc>
          <w:tcPr>
            <w:tcW w:w="3480" w:type="dxa"/>
            <w:gridSpan w:val="2"/>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5</w:t>
            </w:r>
          </w:p>
        </w:tc>
        <w:tc>
          <w:tcPr>
            <w:tcW w:w="698" w:type="dxa"/>
            <w:noWrap w:val="0"/>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731" w:type="dxa"/>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709" w:type="dxa"/>
            <w:noWrap w:val="0"/>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764" w:type="dxa"/>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687" w:type="dxa"/>
            <w:noWrap w:val="0"/>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0</w:t>
            </w:r>
          </w:p>
        </w:tc>
        <w:tc>
          <w:tcPr>
            <w:tcW w:w="633" w:type="dxa"/>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noWrap w:val="0"/>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98"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31"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09"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764"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87"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33" w:type="dxa"/>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政府信息公开行政复议、行政诉讼情况</w:t>
      </w:r>
    </w:p>
    <w:tbl>
      <w:tblPr>
        <w:tblStyle w:val="7"/>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rPr>
          <w:jc w:val="center"/>
        </w:trPr>
        <w:tc>
          <w:tcPr>
            <w:tcW w:w="59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rPr>
          <w:trHeight w:val="697" w:hRule="atLeast"/>
          <w:jc w:val="center"/>
        </w:trPr>
        <w:tc>
          <w:tcPr>
            <w:tcW w:w="5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6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2023年，区政府</w:t>
      </w:r>
      <w:r>
        <w:rPr>
          <w:rFonts w:hint="eastAsia" w:ascii="宋体" w:hAnsi="宋体" w:cs="宋体"/>
          <w:sz w:val="24"/>
          <w:szCs w:val="24"/>
          <w:lang w:val="en-US" w:eastAsia="zh-CN"/>
        </w:rPr>
        <w:t>办公室</w:t>
      </w:r>
      <w:bookmarkStart w:id="0" w:name="_GoBack"/>
      <w:bookmarkEnd w:id="0"/>
      <w:r>
        <w:rPr>
          <w:rFonts w:hint="eastAsia" w:ascii="宋体" w:hAnsi="宋体" w:eastAsia="宋体" w:cs="宋体"/>
          <w:sz w:val="24"/>
          <w:szCs w:val="24"/>
        </w:rPr>
        <w:t>将继续认真贯彻落实上级有关政府信息公开的要求，一是深入推进基层政务公开标准化规范化建设，对编制的重点领域标准目录进行新一轮梳理，根据职能职责动态调整更新。二是加强政府信息公开的培训工作，政府信息公开工作政策性强，不论是政府机关还是行政相对人，都需要持续深入学习《中华人民共和国政府信息公开条例》相关规定。通过持续深入的培训，让大家熟悉本行政部门职责，提高业务水平。</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2023年，区政府办公室严格落实《政府信息公开信息处理费管理办法》（国办函[2020]109号）要求，未收取政府信息公开信息处理费。</w:t>
      </w:r>
    </w:p>
    <w:p>
      <w:pPr>
        <w:pStyle w:val="6"/>
        <w:ind w:left="0" w:leftChars="0" w:firstLine="0" w:firstLineChars="0"/>
        <w:rPr>
          <w:rFonts w:hint="default"/>
          <w:lang w:val="en-US" w:eastAsia="zh-CN"/>
        </w:rPr>
      </w:pPr>
    </w:p>
    <w:p>
      <w:pPr>
        <w:jc w:val="right"/>
        <w:rPr>
          <w:rFonts w:hint="eastAsia"/>
          <w:lang w:val="en-US" w:eastAsia="zh-CN"/>
        </w:rPr>
      </w:pPr>
      <w:r>
        <w:rPr>
          <w:rFonts w:hint="eastAsia"/>
          <w:lang w:val="en-US" w:eastAsia="zh-CN"/>
        </w:rPr>
        <w:t>四平市铁西区人民政府办公室</w:t>
      </w:r>
    </w:p>
    <w:p>
      <w:pPr>
        <w:jc w:val="right"/>
        <w:rPr>
          <w:rFonts w:hint="default"/>
          <w:lang w:val="en-US" w:eastAsia="zh-CN"/>
        </w:rPr>
      </w:pPr>
      <w:r>
        <w:rPr>
          <w:rFonts w:hint="eastAsia"/>
          <w:lang w:val="en-US" w:eastAsia="zh-CN"/>
        </w:rPr>
        <w:t>2024年1月12日</w:t>
      </w:r>
    </w:p>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134" w:gutter="0"/>
      <w:pgBorders>
        <w:top w:val="none" w:sz="0" w:space="0"/>
        <w:left w:val="none" w:sz="0" w:space="0"/>
        <w:bottom w:val="none" w:sz="0" w:space="0"/>
        <w:right w:val="none" w:sz="0" w:space="0"/>
      </w:pgBorders>
      <w:pgNumType w:fmt="numberInDash"/>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59264;mso-width-relative:page;mso-height-relative:page;" filled="f" stroked="f" coordsize="21600,21600" o:gfxdata="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b7AIzXAAAABwEAAA8AAAAAAAAAAQAgAAAAIgAA&#10;AGRycy9kb3ducmV2LnhtbFBLAQIUABQAAAAIAIdO4kBgcnE80AEAAKMDAAAOAAAAAAAAAAEAIAAA&#10;ACYBAABkcnMvZTJvRG9jLnhtbFBLBQYAAAAABgAGAFkBAABoBQ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0288;mso-width-relative:page;mso-height-relative:page;" filled="f" stroked="f" coordsize="21600,21600" o:gfxdata="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2+wCM1wAAAAcBAAAPAAAAAAAAAAEAIAAAACIA&#10;AABkcnMvZG93bnJldi54bWxQSwECFAAUAAAACACHTuJAXiVGdNEBAACjAwAADgAAAAAAAAABACAA&#10;AAAmAQAAZHJzL2Uyb0RvYy54bWxQSwUGAAAAAAYABgBZAQAAaQUAAAAA&#10;">
              <v:fill on="f" focussize="0,0"/>
              <v:stroke on="f" weight="1.2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3A703E06"/>
    <w:rsid w:val="141F6AD0"/>
    <w:rsid w:val="178B201B"/>
    <w:rsid w:val="1EF36406"/>
    <w:rsid w:val="212C3E51"/>
    <w:rsid w:val="260E7FC9"/>
    <w:rsid w:val="3A703E06"/>
    <w:rsid w:val="3D605157"/>
    <w:rsid w:val="474451A1"/>
    <w:rsid w:val="50242014"/>
    <w:rsid w:val="5A1153B7"/>
    <w:rsid w:val="63C50A6B"/>
    <w:rsid w:val="6A2F4AB2"/>
    <w:rsid w:val="6DDA3DCA"/>
    <w:rsid w:val="71711BF9"/>
    <w:rsid w:val="7711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570"/>
    </w:pPr>
    <w:rPr>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spacing w:after="120"/>
      <w:ind w:left="420" w:leftChars="200" w:firstLine="420" w:firstLineChars="200"/>
    </w:pPr>
    <w:rPr>
      <w:sz w:val="21"/>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2024-01-09T02:42:00Z</dcterms:created>
  <dc:creator>红红的雨</dc:creator>
  <cp:lastModifiedBy>红红的雨</cp:lastModifiedBy>
  <dcterms:modified xsi:type="dcterms:W3CDTF">2024-01-15T02:46:59Z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FDEFEC0FC4174ADCAD25110CB2FAC128_11</vt:lpwstr>
  </property>
</Properties>
</file>